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ind w:right="420"/>
        <w:rPr>
          <w:rFonts w:ascii="宋体" w:hAnsi="宋体"/>
          <w:b/>
          <w:sz w:val="44"/>
          <w:szCs w:val="44"/>
        </w:rPr>
      </w:pPr>
      <w:bookmarkStart w:id="0" w:name="_Toc174090972"/>
    </w:p>
    <w:p>
      <w:pPr>
        <w:spacing w:line="312" w:lineRule="auto"/>
        <w:ind w:right="420"/>
        <w:rPr>
          <w:rFonts w:ascii="宋体" w:hAnsi="宋体"/>
          <w:b/>
          <w:sz w:val="44"/>
          <w:szCs w:val="44"/>
        </w:rPr>
      </w:pPr>
    </w:p>
    <w:p>
      <w:pPr>
        <w:spacing w:line="312" w:lineRule="auto"/>
        <w:jc w:val="center"/>
        <w:rPr>
          <w:rFonts w:ascii="宋体" w:hAnsi="宋体"/>
          <w:b/>
          <w:sz w:val="52"/>
          <w:szCs w:val="52"/>
        </w:rPr>
      </w:pPr>
      <w:r>
        <w:rPr>
          <w:rFonts w:hint="eastAsia" w:ascii="宋体" w:hAnsi="宋体"/>
          <w:b/>
          <w:sz w:val="52"/>
          <w:szCs w:val="52"/>
        </w:rPr>
        <w:t>广 东 培 正 学 院</w:t>
      </w:r>
    </w:p>
    <w:p>
      <w:pPr>
        <w:spacing w:line="312" w:lineRule="auto"/>
        <w:jc w:val="center"/>
        <w:rPr>
          <w:rFonts w:ascii="宋体" w:hAnsi="宋体"/>
          <w:b/>
          <w:sz w:val="44"/>
          <w:szCs w:val="44"/>
        </w:rPr>
      </w:pPr>
    </w:p>
    <w:p>
      <w:pPr>
        <w:spacing w:line="312" w:lineRule="auto"/>
        <w:jc w:val="center"/>
        <w:rPr>
          <w:rFonts w:ascii="黑体" w:hAnsi="黑体" w:eastAsia="黑体"/>
          <w:b/>
          <w:sz w:val="48"/>
          <w:szCs w:val="48"/>
        </w:rPr>
      </w:pPr>
      <w:r>
        <w:rPr>
          <w:rFonts w:hint="eastAsia" w:ascii="黑体" w:hAnsi="黑体" w:eastAsia="黑体"/>
          <w:b/>
          <w:sz w:val="48"/>
          <w:szCs w:val="48"/>
        </w:rPr>
        <w:t>竞争性谈判文件</w:t>
      </w:r>
    </w:p>
    <w:p>
      <w:pPr>
        <w:spacing w:line="312" w:lineRule="auto"/>
        <w:rPr>
          <w:rFonts w:ascii="宋体" w:hAnsi="宋体"/>
          <w:szCs w:val="48"/>
        </w:rPr>
      </w:pPr>
    </w:p>
    <w:p>
      <w:pPr>
        <w:spacing w:line="312" w:lineRule="auto"/>
        <w:rPr>
          <w:rFonts w:ascii="宋体" w:hAnsi="宋体"/>
          <w:szCs w:val="48"/>
        </w:rPr>
      </w:pPr>
    </w:p>
    <w:p>
      <w:pPr>
        <w:spacing w:line="312" w:lineRule="auto"/>
        <w:jc w:val="center"/>
        <w:rPr>
          <w:rFonts w:ascii="宋体" w:hAnsi="宋体"/>
          <w:szCs w:val="21"/>
        </w:rPr>
      </w:pPr>
      <w:r>
        <w:rPr>
          <w:rFonts w:ascii="宋体" w:hAnsi="宋体"/>
          <w:szCs w:val="21"/>
        </w:rPr>
        <w:drawing>
          <wp:inline distT="0" distB="0" distL="114300" distR="114300">
            <wp:extent cx="3606800" cy="30416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606800" cy="3041650"/>
                    </a:xfrm>
                    <a:prstGeom prst="rect">
                      <a:avLst/>
                    </a:prstGeom>
                    <a:noFill/>
                    <a:ln w="9525">
                      <a:noFill/>
                    </a:ln>
                  </pic:spPr>
                </pic:pic>
              </a:graphicData>
            </a:graphic>
          </wp:inline>
        </w:drawing>
      </w:r>
    </w:p>
    <w:p>
      <w:pPr>
        <w:spacing w:line="312" w:lineRule="auto"/>
        <w:ind w:firstLine="735" w:firstLineChars="350"/>
        <w:rPr>
          <w:rFonts w:ascii="宋体" w:hAnsi="宋体"/>
          <w:szCs w:val="32"/>
        </w:rPr>
      </w:pPr>
    </w:p>
    <w:p>
      <w:pPr>
        <w:spacing w:line="312" w:lineRule="auto"/>
        <w:ind w:firstLine="735" w:firstLineChars="350"/>
        <w:rPr>
          <w:rFonts w:ascii="宋体" w:hAnsi="宋体"/>
          <w:szCs w:val="32"/>
        </w:rPr>
      </w:pPr>
    </w:p>
    <w:p>
      <w:pPr>
        <w:spacing w:line="312" w:lineRule="auto"/>
        <w:ind w:firstLine="735" w:firstLineChars="350"/>
        <w:rPr>
          <w:rFonts w:ascii="宋体" w:hAnsi="宋体"/>
          <w:szCs w:val="32"/>
        </w:rPr>
      </w:pPr>
    </w:p>
    <w:p>
      <w:pPr>
        <w:spacing w:line="312" w:lineRule="auto"/>
        <w:ind w:firstLine="358" w:firstLineChars="128"/>
        <w:rPr>
          <w:rFonts w:ascii="宋体" w:hAnsi="宋体"/>
          <w:sz w:val="28"/>
          <w:szCs w:val="28"/>
          <w:u w:val="single"/>
        </w:rPr>
      </w:pPr>
      <w:r>
        <w:rPr>
          <w:rFonts w:hint="eastAsia" w:ascii="宋体" w:hAnsi="宋体"/>
          <w:sz w:val="28"/>
          <w:szCs w:val="28"/>
        </w:rPr>
        <w:t>项目名称 ：广东培正学院</w:t>
      </w:r>
      <w:r>
        <w:rPr>
          <w:rFonts w:ascii="宋体" w:hAnsi="宋体"/>
          <w:sz w:val="28"/>
          <w:szCs w:val="28"/>
        </w:rPr>
        <w:t>20</w:t>
      </w:r>
      <w:r>
        <w:rPr>
          <w:rFonts w:hint="eastAsia" w:ascii="宋体" w:hAnsi="宋体"/>
          <w:sz w:val="28"/>
          <w:szCs w:val="28"/>
        </w:rPr>
        <w:t>20</w:t>
      </w:r>
      <w:r>
        <w:rPr>
          <w:rFonts w:hint="eastAsia" w:ascii="宋体" w:hAnsi="宋体"/>
          <w:sz w:val="28"/>
          <w:szCs w:val="28"/>
          <w:lang w:val="en-US" w:eastAsia="zh-CN"/>
        </w:rPr>
        <w:t>-2021</w:t>
      </w:r>
      <w:r>
        <w:rPr>
          <w:rFonts w:ascii="宋体" w:hAnsi="宋体"/>
          <w:sz w:val="28"/>
          <w:szCs w:val="28"/>
        </w:rPr>
        <w:t>年</w:t>
      </w:r>
      <w:r>
        <w:rPr>
          <w:rFonts w:hint="eastAsia" w:ascii="宋体" w:hAnsi="宋体"/>
          <w:sz w:val="28"/>
          <w:szCs w:val="28"/>
        </w:rPr>
        <w:t xml:space="preserve">监控维保项目    </w:t>
      </w:r>
    </w:p>
    <w:p>
      <w:pPr>
        <w:spacing w:line="312" w:lineRule="auto"/>
        <w:jc w:val="center"/>
        <w:rPr>
          <w:rFonts w:ascii="宋体" w:hAnsi="宋体"/>
          <w:szCs w:val="21"/>
        </w:rPr>
      </w:pPr>
    </w:p>
    <w:p>
      <w:pPr>
        <w:spacing w:line="312" w:lineRule="auto"/>
        <w:jc w:val="center"/>
        <w:rPr>
          <w:rFonts w:ascii="宋体" w:hAnsi="宋体"/>
          <w:szCs w:val="21"/>
        </w:rPr>
      </w:pPr>
    </w:p>
    <w:p>
      <w:pPr>
        <w:spacing w:line="312" w:lineRule="auto"/>
        <w:jc w:val="center"/>
        <w:rPr>
          <w:rFonts w:ascii="宋体" w:hAnsi="宋体"/>
          <w:szCs w:val="21"/>
        </w:rPr>
      </w:pPr>
    </w:p>
    <w:p>
      <w:pPr>
        <w:spacing w:line="312" w:lineRule="auto"/>
        <w:jc w:val="center"/>
        <w:rPr>
          <w:rFonts w:ascii="宋体" w:hAnsi="宋体"/>
          <w:szCs w:val="21"/>
        </w:rPr>
      </w:pPr>
    </w:p>
    <w:p>
      <w:pPr>
        <w:spacing w:line="312" w:lineRule="auto"/>
        <w:jc w:val="center"/>
        <w:rPr>
          <w:rFonts w:ascii="宋体" w:hAnsi="宋体"/>
          <w:szCs w:val="21"/>
        </w:rPr>
      </w:pPr>
    </w:p>
    <w:p>
      <w:pPr>
        <w:spacing w:line="312" w:lineRule="auto"/>
        <w:jc w:val="center"/>
        <w:rPr>
          <w:rFonts w:ascii="宋体" w:hAnsi="宋体"/>
          <w:sz w:val="28"/>
          <w:szCs w:val="28"/>
        </w:rPr>
      </w:pPr>
      <w:r>
        <w:rPr>
          <w:rFonts w:hint="eastAsia" w:ascii="宋体" w:hAnsi="宋体"/>
          <w:sz w:val="28"/>
          <w:szCs w:val="28"/>
        </w:rPr>
        <w:t>广东培正学院</w:t>
      </w:r>
    </w:p>
    <w:p>
      <w:pPr>
        <w:spacing w:line="312" w:lineRule="auto"/>
        <w:jc w:val="center"/>
        <w:rPr>
          <w:rFonts w:ascii="宋体" w:hAnsi="宋体"/>
          <w:sz w:val="24"/>
        </w:rPr>
      </w:pPr>
      <w:r>
        <w:rPr>
          <w:rFonts w:hint="eastAsia" w:ascii="宋体" w:hAnsi="宋体"/>
          <w:sz w:val="24"/>
        </w:rPr>
        <w:t>2019年 1</w:t>
      </w:r>
      <w:r>
        <w:rPr>
          <w:rFonts w:hint="eastAsia" w:ascii="宋体" w:hAnsi="宋体"/>
          <w:sz w:val="24"/>
          <w:lang w:val="en-US" w:eastAsia="zh-CN"/>
        </w:rPr>
        <w:t>2</w:t>
      </w:r>
      <w:r>
        <w:rPr>
          <w:rFonts w:hint="eastAsia" w:ascii="宋体" w:hAnsi="宋体"/>
          <w:sz w:val="24"/>
        </w:rPr>
        <w:t>月</w:t>
      </w:r>
    </w:p>
    <w:p>
      <w:pPr>
        <w:pStyle w:val="30"/>
        <w:rPr>
          <w:sz w:val="36"/>
          <w:szCs w:val="36"/>
          <w:lang w:val="zh-CN"/>
        </w:rPr>
      </w:pPr>
      <w:r>
        <w:rPr>
          <w:color w:val="auto"/>
          <w:sz w:val="36"/>
          <w:szCs w:val="36"/>
          <w:lang w:val="zh-CN"/>
        </w:rPr>
        <w:t>目录</w:t>
      </w:r>
    </w:p>
    <w:p>
      <w:pPr>
        <w:rPr>
          <w:lang w:val="zh-CN"/>
        </w:rPr>
      </w:pPr>
    </w:p>
    <w:p>
      <w:pPr>
        <w:pStyle w:val="11"/>
        <w:tabs>
          <w:tab w:val="right" w:leader="dot" w:pos="8720"/>
        </w:tabs>
        <w:rPr>
          <w:rFonts w:asciiTheme="minorHAnsi" w:hAnsiTheme="minorHAnsi" w:eastAsiaTheme="minorEastAsia" w:cstheme="minorBidi"/>
          <w:kern w:val="2"/>
          <w:sz w:val="21"/>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"_Toc497405388" </w:instrText>
      </w:r>
      <w:r>
        <w:fldChar w:fldCharType="separate"/>
      </w:r>
      <w:r>
        <w:rPr>
          <w:rStyle w:val="20"/>
          <w:rFonts w:hint="eastAsia"/>
        </w:rPr>
        <w:t>第一部分竞争性谈判邀请</w:t>
      </w:r>
      <w:r>
        <w:tab/>
      </w:r>
      <w:r>
        <w:fldChar w:fldCharType="begin"/>
      </w:r>
      <w:r>
        <w:instrText xml:space="preserve"> PAGEREF _Toc497405388 \h </w:instrText>
      </w:r>
      <w:r>
        <w:fldChar w:fldCharType="separate"/>
      </w:r>
      <w:r>
        <w:t>1</w:t>
      </w:r>
      <w:r>
        <w:fldChar w:fldCharType="end"/>
      </w:r>
      <w:r>
        <w:fldChar w:fldCharType="end"/>
      </w:r>
    </w:p>
    <w:p>
      <w:pPr>
        <w:pStyle w:val="11"/>
        <w:tabs>
          <w:tab w:val="right" w:leader="dot" w:pos="8720"/>
        </w:tabs>
        <w:rPr>
          <w:rFonts w:asciiTheme="minorHAnsi" w:hAnsiTheme="minorHAnsi" w:eastAsiaTheme="minorEastAsia" w:cstheme="minorBidi"/>
          <w:kern w:val="2"/>
          <w:sz w:val="21"/>
        </w:rPr>
      </w:pPr>
      <w:r>
        <w:fldChar w:fldCharType="begin"/>
      </w:r>
      <w:r>
        <w:instrText xml:space="preserve"> HYPERLINK \l "_Toc497405389" </w:instrText>
      </w:r>
      <w:r>
        <w:fldChar w:fldCharType="separate"/>
      </w:r>
      <w:r>
        <w:rPr>
          <w:rStyle w:val="20"/>
          <w:rFonts w:hint="eastAsia"/>
        </w:rPr>
        <w:t>第二部分竞争性谈判须知</w:t>
      </w:r>
      <w:r>
        <w:tab/>
      </w:r>
      <w:r>
        <w:fldChar w:fldCharType="begin"/>
      </w:r>
      <w:r>
        <w:instrText xml:space="preserve"> PAGEREF _Toc497405389 \h </w:instrText>
      </w:r>
      <w:r>
        <w:fldChar w:fldCharType="separate"/>
      </w:r>
      <w:r>
        <w:t>2</w:t>
      </w:r>
      <w:r>
        <w:fldChar w:fldCharType="end"/>
      </w:r>
      <w:r>
        <w:fldChar w:fldCharType="end"/>
      </w:r>
    </w:p>
    <w:p>
      <w:pPr>
        <w:pStyle w:val="11"/>
        <w:tabs>
          <w:tab w:val="right" w:leader="dot" w:pos="8720"/>
        </w:tabs>
        <w:rPr>
          <w:rFonts w:asciiTheme="minorHAnsi" w:hAnsiTheme="minorHAnsi" w:eastAsiaTheme="minorEastAsia" w:cstheme="minorBidi"/>
          <w:kern w:val="2"/>
          <w:sz w:val="21"/>
        </w:rPr>
      </w:pPr>
      <w:r>
        <w:fldChar w:fldCharType="begin"/>
      </w:r>
      <w:r>
        <w:instrText xml:space="preserve"> HYPERLINK \l "_Toc497405390" </w:instrText>
      </w:r>
      <w:r>
        <w:fldChar w:fldCharType="separate"/>
      </w:r>
      <w:r>
        <w:rPr>
          <w:rStyle w:val="20"/>
          <w:rFonts w:hint="eastAsia"/>
        </w:rPr>
        <w:t>第三部分商务要求</w:t>
      </w:r>
      <w:r>
        <w:tab/>
      </w:r>
      <w:r>
        <w:fldChar w:fldCharType="begin"/>
      </w:r>
      <w:r>
        <w:instrText xml:space="preserve"> PAGEREF _Toc497405390 \h </w:instrText>
      </w:r>
      <w:r>
        <w:fldChar w:fldCharType="separate"/>
      </w:r>
      <w:r>
        <w:t>6</w:t>
      </w:r>
      <w:r>
        <w:fldChar w:fldCharType="end"/>
      </w:r>
      <w:r>
        <w:fldChar w:fldCharType="end"/>
      </w:r>
    </w:p>
    <w:p>
      <w:pPr>
        <w:pStyle w:val="11"/>
        <w:tabs>
          <w:tab w:val="right" w:leader="dot" w:pos="8720"/>
        </w:tabs>
        <w:rPr>
          <w:rFonts w:asciiTheme="minorHAnsi" w:hAnsiTheme="minorHAnsi" w:eastAsiaTheme="minorEastAsia" w:cstheme="minorBidi"/>
          <w:kern w:val="2"/>
          <w:sz w:val="21"/>
        </w:rPr>
      </w:pPr>
      <w:r>
        <w:fldChar w:fldCharType="begin"/>
      </w:r>
      <w:r>
        <w:instrText xml:space="preserve"> HYPERLINK \l "_Toc497405391" </w:instrText>
      </w:r>
      <w:r>
        <w:fldChar w:fldCharType="separate"/>
      </w:r>
      <w:r>
        <w:rPr>
          <w:rStyle w:val="20"/>
          <w:rFonts w:hint="eastAsia"/>
        </w:rPr>
        <w:t>第四部分技术服务要求</w:t>
      </w:r>
      <w:r>
        <w:tab/>
      </w:r>
      <w:r>
        <w:fldChar w:fldCharType="begin"/>
      </w:r>
      <w:r>
        <w:instrText xml:space="preserve"> PAGEREF _Toc497405391 \h </w:instrText>
      </w:r>
      <w:r>
        <w:fldChar w:fldCharType="separate"/>
      </w:r>
      <w:r>
        <w:t>7</w:t>
      </w:r>
      <w:r>
        <w:fldChar w:fldCharType="end"/>
      </w:r>
      <w:r>
        <w:fldChar w:fldCharType="end"/>
      </w:r>
    </w:p>
    <w:p>
      <w:pPr>
        <w:tabs>
          <w:tab w:val="left" w:pos="5800"/>
        </w:tabs>
        <w:spacing w:line="312" w:lineRule="auto"/>
      </w:pPr>
      <w:r>
        <w:rPr>
          <w:sz w:val="28"/>
          <w:szCs w:val="28"/>
        </w:rPr>
        <w:fldChar w:fldCharType="end"/>
      </w:r>
      <w:r>
        <w:rPr>
          <w:sz w:val="24"/>
        </w:rPr>
        <w:tab/>
      </w:r>
    </w:p>
    <w:p>
      <w:pPr>
        <w:spacing w:line="312" w:lineRule="auto"/>
        <w:jc w:val="center"/>
        <w:rPr>
          <w:rFonts w:ascii="宋体" w:hAnsi="宋体"/>
          <w:szCs w:val="21"/>
        </w:rPr>
      </w:pPr>
    </w:p>
    <w:p>
      <w:pPr>
        <w:spacing w:line="312" w:lineRule="auto"/>
        <w:jc w:val="center"/>
        <w:rPr>
          <w:rFonts w:ascii="宋体" w:hAnsi="宋体"/>
          <w:szCs w:val="21"/>
        </w:rPr>
      </w:pPr>
    </w:p>
    <w:p>
      <w:pPr>
        <w:spacing w:line="312" w:lineRule="auto"/>
        <w:jc w:val="center"/>
        <w:rPr>
          <w:rFonts w:ascii="宋体" w:hAnsi="宋体"/>
          <w:szCs w:val="21"/>
        </w:rPr>
      </w:pPr>
    </w:p>
    <w:p>
      <w:pPr>
        <w:spacing w:line="312" w:lineRule="auto"/>
        <w:jc w:val="center"/>
        <w:rPr>
          <w:rFonts w:ascii="宋体" w:hAnsi="宋体"/>
          <w:szCs w:val="21"/>
        </w:rPr>
      </w:pPr>
    </w:p>
    <w:p>
      <w:pPr>
        <w:spacing w:line="312" w:lineRule="auto"/>
        <w:jc w:val="center"/>
        <w:rPr>
          <w:rFonts w:ascii="宋体" w:hAnsi="宋体"/>
          <w:szCs w:val="21"/>
        </w:rPr>
      </w:pPr>
    </w:p>
    <w:p>
      <w:pPr>
        <w:spacing w:line="312" w:lineRule="auto"/>
        <w:jc w:val="center"/>
        <w:rPr>
          <w:rFonts w:ascii="宋体" w:hAnsi="宋体"/>
          <w:szCs w:val="21"/>
        </w:rPr>
      </w:pPr>
    </w:p>
    <w:p>
      <w:pPr>
        <w:spacing w:line="312" w:lineRule="auto"/>
        <w:jc w:val="center"/>
        <w:rPr>
          <w:rFonts w:ascii="宋体" w:hAnsi="宋体"/>
          <w:szCs w:val="21"/>
        </w:rPr>
      </w:pPr>
    </w:p>
    <w:p>
      <w:pPr>
        <w:spacing w:line="312" w:lineRule="auto"/>
        <w:jc w:val="center"/>
        <w:rPr>
          <w:rFonts w:ascii="宋体" w:hAnsi="宋体"/>
          <w:szCs w:val="21"/>
        </w:rPr>
      </w:pPr>
    </w:p>
    <w:p>
      <w:pPr>
        <w:spacing w:line="312" w:lineRule="auto"/>
        <w:jc w:val="center"/>
        <w:rPr>
          <w:rFonts w:ascii="宋体" w:hAnsi="宋体"/>
          <w:szCs w:val="21"/>
        </w:rPr>
      </w:pPr>
    </w:p>
    <w:p>
      <w:pPr>
        <w:spacing w:line="312" w:lineRule="auto"/>
        <w:jc w:val="center"/>
        <w:rPr>
          <w:rFonts w:ascii="宋体" w:hAnsi="宋体"/>
          <w:szCs w:val="21"/>
        </w:rPr>
      </w:pPr>
    </w:p>
    <w:p>
      <w:pPr>
        <w:spacing w:line="312" w:lineRule="auto"/>
        <w:jc w:val="center"/>
        <w:rPr>
          <w:rFonts w:ascii="宋体" w:hAnsi="宋体"/>
          <w:szCs w:val="21"/>
        </w:rPr>
      </w:pPr>
    </w:p>
    <w:p>
      <w:pPr>
        <w:spacing w:line="312" w:lineRule="auto"/>
        <w:jc w:val="center"/>
        <w:rPr>
          <w:rFonts w:ascii="宋体" w:hAnsi="宋体"/>
          <w:szCs w:val="21"/>
        </w:rPr>
      </w:pPr>
    </w:p>
    <w:p>
      <w:pPr>
        <w:spacing w:line="312" w:lineRule="auto"/>
        <w:jc w:val="center"/>
        <w:rPr>
          <w:rFonts w:ascii="宋体" w:hAnsi="宋体"/>
          <w:szCs w:val="21"/>
        </w:rPr>
      </w:pPr>
    </w:p>
    <w:p>
      <w:pPr>
        <w:spacing w:line="312" w:lineRule="auto"/>
        <w:jc w:val="center"/>
        <w:rPr>
          <w:rFonts w:ascii="宋体" w:hAnsi="宋体"/>
          <w:szCs w:val="21"/>
        </w:rPr>
      </w:pPr>
    </w:p>
    <w:p>
      <w:pPr>
        <w:spacing w:line="312" w:lineRule="auto"/>
        <w:jc w:val="center"/>
        <w:rPr>
          <w:rFonts w:ascii="宋体" w:hAnsi="宋体"/>
          <w:szCs w:val="21"/>
        </w:rPr>
      </w:pPr>
    </w:p>
    <w:p>
      <w:pPr>
        <w:spacing w:line="312" w:lineRule="auto"/>
        <w:jc w:val="center"/>
        <w:rPr>
          <w:rFonts w:ascii="宋体" w:hAnsi="宋体"/>
          <w:szCs w:val="21"/>
        </w:rPr>
      </w:pPr>
    </w:p>
    <w:p>
      <w:pPr>
        <w:spacing w:line="312" w:lineRule="auto"/>
        <w:jc w:val="center"/>
        <w:rPr>
          <w:rFonts w:ascii="宋体" w:hAnsi="宋体"/>
          <w:szCs w:val="21"/>
        </w:rPr>
      </w:pPr>
    </w:p>
    <w:p>
      <w:pPr>
        <w:spacing w:line="312" w:lineRule="auto"/>
        <w:jc w:val="center"/>
        <w:rPr>
          <w:rFonts w:ascii="宋体" w:hAnsi="宋体"/>
          <w:szCs w:val="21"/>
        </w:rPr>
      </w:pPr>
    </w:p>
    <w:p>
      <w:pPr>
        <w:spacing w:line="312" w:lineRule="auto"/>
        <w:jc w:val="center"/>
        <w:rPr>
          <w:rFonts w:ascii="宋体" w:hAnsi="宋体"/>
          <w:szCs w:val="21"/>
        </w:rPr>
      </w:pPr>
    </w:p>
    <w:p>
      <w:pPr>
        <w:spacing w:line="312" w:lineRule="auto"/>
        <w:jc w:val="center"/>
        <w:rPr>
          <w:rFonts w:ascii="宋体" w:hAnsi="宋体"/>
          <w:szCs w:val="21"/>
        </w:rPr>
      </w:pPr>
    </w:p>
    <w:p>
      <w:pPr>
        <w:spacing w:line="312" w:lineRule="auto"/>
        <w:jc w:val="center"/>
        <w:rPr>
          <w:rFonts w:ascii="宋体" w:hAnsi="宋体"/>
          <w:szCs w:val="21"/>
        </w:rPr>
      </w:pPr>
    </w:p>
    <w:p>
      <w:pPr>
        <w:spacing w:line="312" w:lineRule="auto"/>
        <w:jc w:val="center"/>
        <w:rPr>
          <w:rFonts w:ascii="宋体" w:hAnsi="宋体"/>
          <w:szCs w:val="21"/>
        </w:rPr>
      </w:pPr>
    </w:p>
    <w:p>
      <w:pPr>
        <w:spacing w:line="312" w:lineRule="auto"/>
        <w:jc w:val="center"/>
        <w:rPr>
          <w:rFonts w:ascii="宋体" w:hAnsi="宋体"/>
          <w:szCs w:val="21"/>
        </w:rPr>
      </w:pPr>
    </w:p>
    <w:p>
      <w:pPr>
        <w:spacing w:line="312" w:lineRule="auto"/>
        <w:jc w:val="center"/>
        <w:rPr>
          <w:rFonts w:ascii="宋体" w:hAnsi="宋体"/>
          <w:szCs w:val="21"/>
        </w:rPr>
      </w:pPr>
    </w:p>
    <w:p>
      <w:pPr>
        <w:spacing w:line="312" w:lineRule="auto"/>
        <w:jc w:val="center"/>
        <w:rPr>
          <w:rFonts w:ascii="宋体" w:hAnsi="宋体"/>
          <w:szCs w:val="21"/>
        </w:rPr>
      </w:pPr>
    </w:p>
    <w:p>
      <w:pPr>
        <w:spacing w:line="312" w:lineRule="auto"/>
        <w:jc w:val="center"/>
        <w:rPr>
          <w:rFonts w:ascii="宋体" w:hAnsi="宋体"/>
          <w:szCs w:val="21"/>
        </w:rPr>
      </w:pPr>
    </w:p>
    <w:p>
      <w:pPr>
        <w:spacing w:line="312" w:lineRule="auto"/>
        <w:jc w:val="center"/>
        <w:rPr>
          <w:rFonts w:ascii="宋体" w:hAnsi="宋体"/>
          <w:szCs w:val="21"/>
        </w:rPr>
      </w:pPr>
    </w:p>
    <w:p>
      <w:pPr>
        <w:spacing w:line="312" w:lineRule="auto"/>
        <w:jc w:val="center"/>
        <w:rPr>
          <w:rFonts w:ascii="宋体" w:hAnsi="宋体"/>
          <w:szCs w:val="21"/>
        </w:rPr>
      </w:pPr>
    </w:p>
    <w:p/>
    <w:p>
      <w:pPr>
        <w:sectPr>
          <w:headerReference r:id="rId3" w:type="default"/>
          <w:footerReference r:id="rId4" w:type="default"/>
          <w:footerReference r:id="rId5" w:type="even"/>
          <w:pgSz w:w="11906" w:h="16838"/>
          <w:pgMar w:top="907" w:right="1588" w:bottom="851" w:left="1588" w:header="567" w:footer="567" w:gutter="0"/>
          <w:cols w:space="425" w:num="1"/>
          <w:docGrid w:type="lines" w:linePitch="312" w:charSpace="0"/>
        </w:sectPr>
      </w:pPr>
    </w:p>
    <w:p/>
    <w:p>
      <w:pPr>
        <w:pStyle w:val="2"/>
        <w:tabs>
          <w:tab w:val="center" w:pos="4365"/>
          <w:tab w:val="right" w:pos="8730"/>
        </w:tabs>
        <w:jc w:val="left"/>
      </w:pPr>
      <w:r>
        <w:tab/>
      </w:r>
      <w:bookmarkStart w:id="1" w:name="_Toc497405388"/>
      <w:r>
        <w:rPr>
          <w:rFonts w:hint="eastAsia"/>
        </w:rPr>
        <w:t>第一部分  竞争性谈判邀请</w:t>
      </w:r>
      <w:bookmarkEnd w:id="1"/>
      <w:r>
        <w:tab/>
      </w:r>
    </w:p>
    <w:p>
      <w:pPr>
        <w:numPr>
          <w:ilvl w:val="0"/>
          <w:numId w:val="1"/>
        </w:numPr>
        <w:spacing w:line="312" w:lineRule="auto"/>
        <w:rPr>
          <w:rFonts w:ascii="宋体"/>
          <w:szCs w:val="21"/>
        </w:rPr>
      </w:pPr>
      <w:r>
        <w:rPr>
          <w:rFonts w:hint="eastAsia" w:ascii="宋体"/>
          <w:szCs w:val="21"/>
        </w:rPr>
        <w:t>广东培正学院（以下称“采购人”）就广东培正学院2020</w:t>
      </w:r>
      <w:r>
        <w:rPr>
          <w:rFonts w:hint="eastAsia" w:ascii="宋体"/>
          <w:szCs w:val="21"/>
          <w:lang w:val="en-US" w:eastAsia="zh-CN"/>
        </w:rPr>
        <w:t>-2021</w:t>
      </w:r>
      <w:r>
        <w:rPr>
          <w:rFonts w:hint="eastAsia" w:ascii="宋体"/>
          <w:szCs w:val="21"/>
        </w:rPr>
        <w:t>年度监控维保项目（以下简称“监维项目”）进行竞争性谈判采购，邀请合格的</w:t>
      </w:r>
      <w:r>
        <w:rPr>
          <w:rFonts w:ascii="宋体"/>
          <w:szCs w:val="21"/>
        </w:rPr>
        <w:t>响应人</w:t>
      </w:r>
      <w:r>
        <w:rPr>
          <w:rFonts w:hint="eastAsia" w:ascii="宋体"/>
          <w:szCs w:val="21"/>
        </w:rPr>
        <w:t>参与报价和谈判。</w:t>
      </w:r>
    </w:p>
    <w:p>
      <w:pPr>
        <w:numPr>
          <w:ilvl w:val="0"/>
          <w:numId w:val="1"/>
        </w:numPr>
        <w:spacing w:line="312" w:lineRule="auto"/>
        <w:rPr>
          <w:rFonts w:ascii="宋体"/>
          <w:szCs w:val="21"/>
        </w:rPr>
      </w:pPr>
      <w:r>
        <w:rPr>
          <w:rFonts w:hint="eastAsia" w:ascii="宋体"/>
          <w:szCs w:val="21"/>
        </w:rPr>
        <w:t>项目简介</w:t>
      </w:r>
    </w:p>
    <w:p>
      <w:pPr>
        <w:tabs>
          <w:tab w:val="left" w:pos="567"/>
        </w:tabs>
        <w:spacing w:line="312" w:lineRule="auto"/>
        <w:ind w:left="567"/>
        <w:rPr>
          <w:szCs w:val="21"/>
        </w:rPr>
      </w:pPr>
      <w:r>
        <w:rPr>
          <w:rFonts w:hint="eastAsia"/>
          <w:szCs w:val="21"/>
        </w:rPr>
        <w:t>项目名称：广东培正学院2020</w:t>
      </w:r>
      <w:r>
        <w:rPr>
          <w:rFonts w:hint="eastAsia"/>
          <w:szCs w:val="21"/>
          <w:lang w:val="en-US" w:eastAsia="zh-CN"/>
        </w:rPr>
        <w:t>-2021</w:t>
      </w:r>
      <w:r>
        <w:rPr>
          <w:rFonts w:hint="eastAsia"/>
          <w:szCs w:val="21"/>
        </w:rPr>
        <w:t>年度监控维保项目</w:t>
      </w:r>
    </w:p>
    <w:p>
      <w:pPr>
        <w:tabs>
          <w:tab w:val="left" w:pos="567"/>
        </w:tabs>
        <w:spacing w:line="312" w:lineRule="auto"/>
        <w:ind w:left="567"/>
        <w:rPr>
          <w:szCs w:val="21"/>
        </w:rPr>
      </w:pPr>
      <w:r>
        <w:rPr>
          <w:rFonts w:hint="eastAsia"/>
          <w:szCs w:val="21"/>
        </w:rPr>
        <w:t>项目内容：详见竞争性谈判文件第</w:t>
      </w:r>
      <w:r>
        <w:rPr>
          <w:rFonts w:hint="eastAsia"/>
          <w:color w:val="000000" w:themeColor="text1"/>
          <w:szCs w:val="21"/>
        </w:rPr>
        <w:t>四</w:t>
      </w:r>
      <w:r>
        <w:rPr>
          <w:rFonts w:hint="eastAsia"/>
          <w:szCs w:val="21"/>
        </w:rPr>
        <w:t>部分</w:t>
      </w:r>
    </w:p>
    <w:p>
      <w:pPr>
        <w:numPr>
          <w:ilvl w:val="0"/>
          <w:numId w:val="1"/>
        </w:numPr>
        <w:spacing w:line="312" w:lineRule="auto"/>
        <w:rPr>
          <w:rFonts w:hint="eastAsia" w:ascii="宋体"/>
          <w:szCs w:val="21"/>
        </w:rPr>
      </w:pPr>
      <w:r>
        <w:rPr>
          <w:rFonts w:hint="eastAsia" w:ascii="宋体"/>
          <w:szCs w:val="21"/>
        </w:rPr>
        <w:t>谈判文件的获取：</w:t>
      </w:r>
      <w:r>
        <w:rPr>
          <w:rFonts w:hint="eastAsia"/>
          <w:szCs w:val="21"/>
        </w:rPr>
        <w:t>采购人以电邮方式发送电子版谈判文件</w:t>
      </w:r>
    </w:p>
    <w:p>
      <w:pPr>
        <w:numPr>
          <w:ilvl w:val="0"/>
          <w:numId w:val="1"/>
        </w:numPr>
        <w:spacing w:line="312" w:lineRule="auto"/>
        <w:rPr>
          <w:rFonts w:hint="eastAsia" w:ascii="宋体"/>
          <w:szCs w:val="21"/>
        </w:rPr>
      </w:pPr>
      <w:r>
        <w:rPr>
          <w:rFonts w:hint="eastAsia" w:ascii="宋体"/>
          <w:szCs w:val="21"/>
        </w:rPr>
        <w:t>现场考察时间：2019年12月5日15：00至16：45</w:t>
      </w:r>
    </w:p>
    <w:p>
      <w:pPr>
        <w:numPr>
          <w:ilvl w:val="0"/>
          <w:numId w:val="1"/>
        </w:numPr>
        <w:spacing w:line="312" w:lineRule="auto"/>
        <w:rPr>
          <w:rFonts w:ascii="宋体"/>
          <w:szCs w:val="21"/>
        </w:rPr>
      </w:pPr>
      <w:r>
        <w:rPr>
          <w:rFonts w:hint="eastAsia" w:ascii="宋体"/>
          <w:szCs w:val="21"/>
        </w:rPr>
        <w:t>谈判保证金保证金的交纳与退还</w:t>
      </w:r>
    </w:p>
    <w:p>
      <w:pPr>
        <w:pStyle w:val="27"/>
        <w:numPr>
          <w:ilvl w:val="0"/>
          <w:numId w:val="2"/>
        </w:numPr>
        <w:spacing w:line="312" w:lineRule="auto"/>
        <w:ind w:firstLineChars="0"/>
        <w:rPr>
          <w:rFonts w:hint="eastAsia" w:asciiTheme="majorEastAsia" w:hAnsiTheme="majorEastAsia" w:eastAsiaTheme="majorEastAsia"/>
          <w:vanish/>
        </w:rPr>
      </w:pPr>
    </w:p>
    <w:p>
      <w:pPr>
        <w:pStyle w:val="27"/>
        <w:numPr>
          <w:ilvl w:val="0"/>
          <w:numId w:val="2"/>
        </w:numPr>
        <w:spacing w:line="312" w:lineRule="auto"/>
        <w:ind w:firstLineChars="0"/>
        <w:rPr>
          <w:rFonts w:hint="eastAsia" w:asciiTheme="majorEastAsia" w:hAnsiTheme="majorEastAsia" w:eastAsiaTheme="majorEastAsia"/>
          <w:vanish/>
        </w:rPr>
      </w:pPr>
    </w:p>
    <w:p>
      <w:pPr>
        <w:pStyle w:val="27"/>
        <w:numPr>
          <w:ilvl w:val="0"/>
          <w:numId w:val="2"/>
        </w:numPr>
        <w:spacing w:line="312" w:lineRule="auto"/>
        <w:ind w:firstLineChars="0"/>
        <w:rPr>
          <w:rFonts w:hint="eastAsia" w:asciiTheme="majorEastAsia" w:hAnsiTheme="majorEastAsia" w:eastAsiaTheme="majorEastAsia"/>
          <w:vanish/>
        </w:rPr>
      </w:pPr>
    </w:p>
    <w:p>
      <w:pPr>
        <w:pStyle w:val="27"/>
        <w:numPr>
          <w:ilvl w:val="0"/>
          <w:numId w:val="2"/>
        </w:numPr>
        <w:spacing w:line="312" w:lineRule="auto"/>
        <w:ind w:firstLineChars="0"/>
        <w:rPr>
          <w:rFonts w:hint="eastAsia" w:asciiTheme="majorEastAsia" w:hAnsiTheme="majorEastAsia" w:eastAsiaTheme="majorEastAsia"/>
          <w:vanish/>
        </w:rPr>
      </w:pPr>
    </w:p>
    <w:p>
      <w:pPr>
        <w:pStyle w:val="27"/>
        <w:numPr>
          <w:ilvl w:val="0"/>
          <w:numId w:val="3"/>
        </w:numPr>
        <w:spacing w:line="312" w:lineRule="auto"/>
        <w:ind w:firstLineChars="0"/>
        <w:rPr>
          <w:rFonts w:hint="eastAsia" w:asciiTheme="majorEastAsia" w:hAnsiTheme="majorEastAsia" w:eastAsiaTheme="majorEastAsia"/>
          <w:vanish/>
        </w:rPr>
      </w:pPr>
    </w:p>
    <w:p>
      <w:pPr>
        <w:pStyle w:val="27"/>
        <w:numPr>
          <w:ilvl w:val="0"/>
          <w:numId w:val="3"/>
        </w:numPr>
        <w:spacing w:line="312" w:lineRule="auto"/>
        <w:ind w:firstLineChars="0"/>
        <w:rPr>
          <w:rFonts w:hint="eastAsia" w:asciiTheme="majorEastAsia" w:hAnsiTheme="majorEastAsia" w:eastAsiaTheme="majorEastAsia"/>
          <w:vanish/>
        </w:rPr>
      </w:pPr>
    </w:p>
    <w:p>
      <w:pPr>
        <w:pStyle w:val="27"/>
        <w:numPr>
          <w:ilvl w:val="0"/>
          <w:numId w:val="3"/>
        </w:numPr>
        <w:spacing w:line="312" w:lineRule="auto"/>
        <w:ind w:firstLineChars="0"/>
        <w:rPr>
          <w:rFonts w:hint="eastAsia" w:asciiTheme="majorEastAsia" w:hAnsiTheme="majorEastAsia" w:eastAsiaTheme="majorEastAsia"/>
          <w:vanish/>
        </w:rPr>
      </w:pPr>
    </w:p>
    <w:p>
      <w:pPr>
        <w:pStyle w:val="27"/>
        <w:numPr>
          <w:ilvl w:val="0"/>
          <w:numId w:val="3"/>
        </w:numPr>
        <w:spacing w:line="312" w:lineRule="auto"/>
        <w:ind w:firstLineChars="0"/>
        <w:rPr>
          <w:rFonts w:hint="eastAsia" w:asciiTheme="majorEastAsia" w:hAnsiTheme="majorEastAsia" w:eastAsiaTheme="majorEastAsia"/>
          <w:vanish/>
        </w:rPr>
      </w:pPr>
    </w:p>
    <w:p>
      <w:pPr>
        <w:pStyle w:val="27"/>
        <w:numPr>
          <w:ilvl w:val="0"/>
          <w:numId w:val="3"/>
        </w:numPr>
        <w:spacing w:line="312" w:lineRule="auto"/>
        <w:ind w:firstLineChars="0"/>
        <w:rPr>
          <w:rFonts w:hint="eastAsia" w:asciiTheme="majorEastAsia" w:hAnsiTheme="majorEastAsia" w:eastAsiaTheme="majorEastAsia"/>
          <w:vanish/>
        </w:rPr>
      </w:pPr>
    </w:p>
    <w:p>
      <w:pPr>
        <w:pStyle w:val="27"/>
        <w:numPr>
          <w:ilvl w:val="1"/>
          <w:numId w:val="3"/>
        </w:numPr>
        <w:spacing w:line="312" w:lineRule="auto"/>
        <w:ind w:firstLineChars="0"/>
        <w:rPr>
          <w:rFonts w:cs="宋体" w:asciiTheme="majorEastAsia" w:hAnsiTheme="majorEastAsia" w:eastAsiaTheme="majorEastAsia"/>
          <w:kern w:val="0"/>
          <w:szCs w:val="21"/>
        </w:rPr>
      </w:pPr>
      <w:r>
        <w:rPr>
          <w:rFonts w:hint="eastAsia" w:asciiTheme="majorEastAsia" w:hAnsiTheme="majorEastAsia" w:eastAsiaTheme="majorEastAsia"/>
        </w:rPr>
        <w:t>保证金金额：人民币</w:t>
      </w:r>
      <w:r>
        <w:rPr>
          <w:rFonts w:hint="eastAsia" w:ascii="宋体"/>
          <w:color w:val="000000" w:themeColor="text1"/>
          <w:szCs w:val="21"/>
        </w:rPr>
        <w:t>叁仟</w:t>
      </w:r>
      <w:r>
        <w:rPr>
          <w:rFonts w:hint="eastAsia" w:asciiTheme="majorEastAsia" w:hAnsiTheme="majorEastAsia" w:eastAsiaTheme="majorEastAsia"/>
        </w:rPr>
        <w:t>元整（￥3,000.00）；</w:t>
      </w:r>
    </w:p>
    <w:p>
      <w:pPr>
        <w:pStyle w:val="27"/>
        <w:numPr>
          <w:ilvl w:val="1"/>
          <w:numId w:val="3"/>
        </w:numPr>
        <w:spacing w:line="312" w:lineRule="auto"/>
        <w:ind w:firstLineChars="0"/>
        <w:rPr>
          <w:rFonts w:asciiTheme="majorEastAsia" w:hAnsiTheme="majorEastAsia" w:eastAsiaTheme="majorEastAsia"/>
        </w:rPr>
      </w:pPr>
      <w:r>
        <w:rPr>
          <w:rFonts w:hint="eastAsia" w:asciiTheme="majorEastAsia" w:hAnsiTheme="majorEastAsia" w:eastAsiaTheme="majorEastAsia"/>
        </w:rPr>
        <w:t>缴纳时间，要求在</w:t>
      </w:r>
      <w:r>
        <w:rPr>
          <w:rFonts w:hint="eastAsia" w:cs="宋体" w:asciiTheme="majorEastAsia" w:hAnsiTheme="majorEastAsia" w:eastAsiaTheme="majorEastAsia"/>
          <w:kern w:val="0"/>
          <w:szCs w:val="21"/>
        </w:rPr>
        <w:t>2019年</w:t>
      </w:r>
      <w:r>
        <w:rPr>
          <w:rFonts w:hint="eastAsia" w:cs="宋体" w:asciiTheme="majorEastAsia" w:hAnsiTheme="majorEastAsia" w:eastAsiaTheme="majorEastAsia"/>
          <w:b/>
          <w:kern w:val="0"/>
          <w:szCs w:val="21"/>
          <w:u w:val="single"/>
        </w:rPr>
        <w:t>12</w:t>
      </w:r>
      <w:r>
        <w:rPr>
          <w:rFonts w:hint="eastAsia" w:cs="宋体" w:asciiTheme="majorEastAsia" w:hAnsiTheme="majorEastAsia" w:eastAsiaTheme="majorEastAsia"/>
          <w:kern w:val="0"/>
          <w:szCs w:val="21"/>
        </w:rPr>
        <w:t>月</w:t>
      </w:r>
      <w:r>
        <w:rPr>
          <w:rFonts w:hint="eastAsia" w:cs="宋体" w:asciiTheme="majorEastAsia" w:hAnsiTheme="majorEastAsia" w:eastAsiaTheme="majorEastAsia"/>
          <w:b/>
          <w:kern w:val="0"/>
          <w:szCs w:val="21"/>
          <w:u w:val="single"/>
          <w:lang w:val="en-US" w:eastAsia="zh-CN"/>
        </w:rPr>
        <w:t>9</w:t>
      </w:r>
      <w:r>
        <w:rPr>
          <w:rFonts w:hint="eastAsia" w:cs="宋体" w:asciiTheme="majorEastAsia" w:hAnsiTheme="majorEastAsia" w:eastAsiaTheme="majorEastAsia"/>
          <w:kern w:val="0"/>
          <w:szCs w:val="21"/>
        </w:rPr>
        <w:t>日前</w:t>
      </w:r>
      <w:r>
        <w:rPr>
          <w:rFonts w:hint="eastAsia" w:asciiTheme="majorEastAsia" w:hAnsiTheme="majorEastAsia" w:eastAsiaTheme="majorEastAsia"/>
        </w:rPr>
        <w:t>到达采购人以下银行账户。</w:t>
      </w:r>
    </w:p>
    <w:p>
      <w:pPr>
        <w:tabs>
          <w:tab w:val="left" w:pos="993"/>
        </w:tabs>
        <w:spacing w:line="312" w:lineRule="auto"/>
        <w:ind w:left="-2" w:leftChars="-1" w:firstLine="991" w:firstLineChars="472"/>
        <w:rPr>
          <w:rFonts w:asciiTheme="majorEastAsia" w:hAnsiTheme="majorEastAsia" w:eastAsiaTheme="majorEastAsia"/>
        </w:rPr>
      </w:pPr>
      <w:r>
        <w:rPr>
          <w:rFonts w:hint="eastAsia" w:asciiTheme="majorEastAsia" w:hAnsiTheme="majorEastAsia" w:eastAsiaTheme="majorEastAsia"/>
        </w:rPr>
        <w:t>开户人名称：广东培正学院</w:t>
      </w:r>
    </w:p>
    <w:p>
      <w:pPr>
        <w:tabs>
          <w:tab w:val="left" w:pos="993"/>
        </w:tabs>
        <w:spacing w:line="312" w:lineRule="auto"/>
        <w:ind w:left="-2" w:leftChars="-1" w:firstLine="991" w:firstLineChars="472"/>
        <w:rPr>
          <w:rFonts w:asciiTheme="majorEastAsia" w:hAnsiTheme="majorEastAsia" w:eastAsiaTheme="majorEastAsia"/>
        </w:rPr>
      </w:pPr>
      <w:r>
        <w:rPr>
          <w:rFonts w:hint="eastAsia" w:asciiTheme="majorEastAsia" w:hAnsiTheme="majorEastAsia" w:eastAsiaTheme="majorEastAsia"/>
        </w:rPr>
        <w:t>账号：4400 1551 5070 5940 6409</w:t>
      </w:r>
    </w:p>
    <w:p>
      <w:pPr>
        <w:tabs>
          <w:tab w:val="left" w:pos="993"/>
        </w:tabs>
        <w:spacing w:line="312" w:lineRule="auto"/>
        <w:ind w:left="-2" w:leftChars="-1" w:firstLine="991" w:firstLineChars="472"/>
        <w:rPr>
          <w:rFonts w:asciiTheme="majorEastAsia" w:hAnsiTheme="majorEastAsia" w:eastAsiaTheme="majorEastAsia"/>
        </w:rPr>
      </w:pPr>
      <w:r>
        <w:rPr>
          <w:rFonts w:hint="eastAsia" w:asciiTheme="majorEastAsia" w:hAnsiTheme="majorEastAsia" w:eastAsiaTheme="majorEastAsia"/>
        </w:rPr>
        <w:t>开户行：中国建设银行广州花都风神大道支行</w:t>
      </w:r>
    </w:p>
    <w:p>
      <w:pPr>
        <w:pStyle w:val="27"/>
        <w:numPr>
          <w:ilvl w:val="1"/>
          <w:numId w:val="3"/>
        </w:numPr>
        <w:tabs>
          <w:tab w:val="left" w:pos="993"/>
        </w:tabs>
        <w:spacing w:line="312" w:lineRule="auto"/>
        <w:ind w:firstLineChars="0"/>
        <w:rPr>
          <w:rFonts w:hint="eastAsia" w:cs="宋体" w:asciiTheme="majorEastAsia" w:hAnsiTheme="majorEastAsia" w:eastAsiaTheme="majorEastAsia"/>
          <w:kern w:val="0"/>
          <w:szCs w:val="21"/>
        </w:rPr>
      </w:pPr>
      <w:r>
        <w:rPr>
          <w:rFonts w:hint="eastAsia" w:cs="宋体" w:asciiTheme="majorEastAsia" w:hAnsiTheme="majorEastAsia" w:eastAsiaTheme="majorEastAsia"/>
          <w:kern w:val="0"/>
          <w:szCs w:val="21"/>
        </w:rPr>
        <w:t>未中选的响应人保证金，在成交通知书发出后10个工作日内无息退还；成交供应商的保证金</w:t>
      </w:r>
      <w:r>
        <w:rPr>
          <w:rFonts w:hint="eastAsia" w:ascii="宋体"/>
          <w:color w:val="000000" w:themeColor="text1"/>
          <w:szCs w:val="21"/>
        </w:rPr>
        <w:t>自动转为履约保证金</w:t>
      </w:r>
      <w:r>
        <w:rPr>
          <w:rFonts w:hint="eastAsia" w:cs="宋体" w:asciiTheme="majorEastAsia" w:hAnsiTheme="majorEastAsia" w:eastAsiaTheme="majorEastAsia"/>
          <w:kern w:val="0"/>
          <w:szCs w:val="21"/>
        </w:rPr>
        <w:t>。</w:t>
      </w:r>
    </w:p>
    <w:p>
      <w:pPr>
        <w:pStyle w:val="27"/>
        <w:numPr>
          <w:ilvl w:val="1"/>
          <w:numId w:val="3"/>
        </w:numPr>
        <w:tabs>
          <w:tab w:val="left" w:pos="993"/>
        </w:tabs>
        <w:spacing w:line="312" w:lineRule="auto"/>
        <w:ind w:firstLineChars="0"/>
        <w:rPr>
          <w:rFonts w:cs="宋体" w:asciiTheme="majorEastAsia" w:hAnsiTheme="majorEastAsia" w:eastAsiaTheme="majorEastAsia"/>
          <w:kern w:val="0"/>
          <w:szCs w:val="21"/>
        </w:rPr>
      </w:pPr>
      <w:r>
        <w:rPr>
          <w:rFonts w:cs="宋体" w:asciiTheme="majorEastAsia" w:hAnsiTheme="majorEastAsia" w:eastAsiaTheme="majorEastAsia"/>
          <w:kern w:val="0"/>
          <w:szCs w:val="21"/>
        </w:rPr>
        <w:t>有下列情形之一的，谈判保证金</w:t>
      </w:r>
      <w:r>
        <w:rPr>
          <w:rFonts w:hint="eastAsia" w:cs="宋体" w:asciiTheme="majorEastAsia" w:hAnsiTheme="majorEastAsia" w:eastAsiaTheme="majorEastAsia"/>
          <w:kern w:val="0"/>
          <w:szCs w:val="21"/>
        </w:rPr>
        <w:t>（或企业诚信保证金）</w:t>
      </w:r>
      <w:r>
        <w:rPr>
          <w:rFonts w:cs="宋体" w:asciiTheme="majorEastAsia" w:hAnsiTheme="majorEastAsia" w:eastAsiaTheme="majorEastAsia"/>
          <w:kern w:val="0"/>
          <w:szCs w:val="21"/>
        </w:rPr>
        <w:t>将</w:t>
      </w:r>
      <w:r>
        <w:rPr>
          <w:rFonts w:hint="eastAsia" w:cs="宋体" w:asciiTheme="majorEastAsia" w:hAnsiTheme="majorEastAsia" w:eastAsiaTheme="majorEastAsia"/>
          <w:kern w:val="0"/>
          <w:szCs w:val="21"/>
        </w:rPr>
        <w:t>不予退还</w:t>
      </w:r>
    </w:p>
    <w:p>
      <w:pPr>
        <w:pStyle w:val="27"/>
        <w:numPr>
          <w:ilvl w:val="2"/>
          <w:numId w:val="3"/>
        </w:numPr>
        <w:tabs>
          <w:tab w:val="left" w:pos="993"/>
        </w:tabs>
        <w:spacing w:line="312" w:lineRule="auto"/>
        <w:ind w:firstLineChars="0"/>
        <w:rPr>
          <w:rFonts w:cs="宋体" w:asciiTheme="majorEastAsia" w:hAnsiTheme="majorEastAsia" w:eastAsiaTheme="majorEastAsia"/>
          <w:kern w:val="0"/>
          <w:szCs w:val="21"/>
        </w:rPr>
      </w:pPr>
      <w:r>
        <w:rPr>
          <w:rFonts w:cs="宋体" w:asciiTheme="majorEastAsia" w:hAnsiTheme="majorEastAsia" w:eastAsiaTheme="majorEastAsia"/>
          <w:kern w:val="0"/>
          <w:szCs w:val="21"/>
        </w:rPr>
        <w:t>在谈判有效期内撤回谈判响应文件的</w:t>
      </w:r>
      <w:r>
        <w:rPr>
          <w:rFonts w:hint="eastAsia" w:cs="宋体" w:asciiTheme="majorEastAsia" w:hAnsiTheme="majorEastAsia" w:eastAsiaTheme="majorEastAsia"/>
          <w:kern w:val="0"/>
          <w:szCs w:val="21"/>
        </w:rPr>
        <w:t>；</w:t>
      </w:r>
    </w:p>
    <w:p>
      <w:pPr>
        <w:pStyle w:val="27"/>
        <w:numPr>
          <w:ilvl w:val="2"/>
          <w:numId w:val="3"/>
        </w:numPr>
        <w:tabs>
          <w:tab w:val="left" w:pos="993"/>
        </w:tabs>
        <w:spacing w:line="312" w:lineRule="auto"/>
        <w:ind w:firstLineChars="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响应人或成交</w:t>
      </w:r>
      <w:r>
        <w:rPr>
          <w:rFonts w:cs="宋体" w:asciiTheme="majorEastAsia" w:hAnsiTheme="majorEastAsia" w:eastAsiaTheme="majorEastAsia"/>
          <w:kern w:val="0"/>
          <w:szCs w:val="21"/>
        </w:rPr>
        <w:t>供应商有提供虚假资料行为的</w:t>
      </w:r>
      <w:r>
        <w:rPr>
          <w:rFonts w:hint="eastAsia" w:cs="宋体" w:asciiTheme="majorEastAsia" w:hAnsiTheme="majorEastAsia" w:eastAsiaTheme="majorEastAsia"/>
          <w:kern w:val="0"/>
          <w:szCs w:val="21"/>
        </w:rPr>
        <w:t>；</w:t>
      </w:r>
    </w:p>
    <w:p>
      <w:pPr>
        <w:pStyle w:val="27"/>
        <w:numPr>
          <w:ilvl w:val="2"/>
          <w:numId w:val="3"/>
        </w:numPr>
        <w:tabs>
          <w:tab w:val="left" w:pos="993"/>
        </w:tabs>
        <w:spacing w:line="312" w:lineRule="auto"/>
        <w:ind w:firstLineChars="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供应商成交</w:t>
      </w:r>
      <w:r>
        <w:rPr>
          <w:rFonts w:cs="宋体" w:asciiTheme="majorEastAsia" w:hAnsiTheme="majorEastAsia" w:eastAsiaTheme="majorEastAsia"/>
          <w:kern w:val="0"/>
          <w:szCs w:val="21"/>
        </w:rPr>
        <w:t>后无正当理由不与采购人签订合同</w:t>
      </w:r>
      <w:r>
        <w:rPr>
          <w:rFonts w:hint="eastAsia" w:cs="宋体" w:asciiTheme="majorEastAsia" w:hAnsiTheme="majorEastAsia" w:eastAsiaTheme="majorEastAsia"/>
          <w:kern w:val="0"/>
          <w:szCs w:val="21"/>
        </w:rPr>
        <w:t>或将成交项目转包或分包他人的。</w:t>
      </w:r>
    </w:p>
    <w:p>
      <w:pPr>
        <w:numPr>
          <w:ilvl w:val="0"/>
          <w:numId w:val="1"/>
        </w:numPr>
        <w:spacing w:line="312" w:lineRule="auto"/>
        <w:rPr>
          <w:rFonts w:ascii="宋体"/>
          <w:szCs w:val="21"/>
        </w:rPr>
      </w:pPr>
      <w:r>
        <w:rPr>
          <w:rFonts w:hint="eastAsia" w:ascii="宋体"/>
          <w:szCs w:val="21"/>
        </w:rPr>
        <w:t>谈判</w:t>
      </w:r>
      <w:r>
        <w:rPr>
          <w:rFonts w:ascii="宋体"/>
          <w:szCs w:val="21"/>
        </w:rPr>
        <w:t>文件</w:t>
      </w:r>
      <w:r>
        <w:rPr>
          <w:rFonts w:hint="eastAsia" w:ascii="宋体"/>
          <w:szCs w:val="21"/>
        </w:rPr>
        <w:t>的递交及截止时间和递交地点</w:t>
      </w:r>
    </w:p>
    <w:p>
      <w:pPr>
        <w:pStyle w:val="27"/>
        <w:numPr>
          <w:ilvl w:val="0"/>
          <w:numId w:val="4"/>
        </w:numPr>
        <w:tabs>
          <w:tab w:val="left" w:pos="567"/>
        </w:tabs>
        <w:spacing w:line="312" w:lineRule="auto"/>
        <w:ind w:firstLineChars="0"/>
        <w:rPr>
          <w:rFonts w:hint="eastAsia" w:cs="宋体" w:asciiTheme="majorEastAsia" w:hAnsiTheme="majorEastAsia" w:eastAsiaTheme="majorEastAsia"/>
          <w:vanish/>
          <w:kern w:val="0"/>
          <w:szCs w:val="21"/>
        </w:rPr>
      </w:pPr>
    </w:p>
    <w:p>
      <w:pPr>
        <w:pStyle w:val="27"/>
        <w:numPr>
          <w:ilvl w:val="0"/>
          <w:numId w:val="4"/>
        </w:numPr>
        <w:tabs>
          <w:tab w:val="left" w:pos="567"/>
        </w:tabs>
        <w:spacing w:line="312" w:lineRule="auto"/>
        <w:ind w:firstLineChars="0"/>
        <w:rPr>
          <w:rFonts w:hint="eastAsia" w:cs="宋体" w:asciiTheme="majorEastAsia" w:hAnsiTheme="majorEastAsia" w:eastAsiaTheme="majorEastAsia"/>
          <w:vanish/>
          <w:kern w:val="0"/>
          <w:szCs w:val="21"/>
        </w:rPr>
      </w:pPr>
    </w:p>
    <w:p>
      <w:pPr>
        <w:pStyle w:val="27"/>
        <w:numPr>
          <w:ilvl w:val="0"/>
          <w:numId w:val="4"/>
        </w:numPr>
        <w:tabs>
          <w:tab w:val="left" w:pos="567"/>
        </w:tabs>
        <w:spacing w:line="312" w:lineRule="auto"/>
        <w:ind w:firstLineChars="0"/>
        <w:rPr>
          <w:rFonts w:hint="eastAsia" w:cs="宋体" w:asciiTheme="majorEastAsia" w:hAnsiTheme="majorEastAsia" w:eastAsiaTheme="majorEastAsia"/>
          <w:vanish/>
          <w:kern w:val="0"/>
          <w:szCs w:val="21"/>
        </w:rPr>
      </w:pPr>
    </w:p>
    <w:p>
      <w:pPr>
        <w:pStyle w:val="27"/>
        <w:numPr>
          <w:ilvl w:val="0"/>
          <w:numId w:val="4"/>
        </w:numPr>
        <w:tabs>
          <w:tab w:val="left" w:pos="567"/>
        </w:tabs>
        <w:spacing w:line="312" w:lineRule="auto"/>
        <w:ind w:firstLineChars="0"/>
        <w:rPr>
          <w:rFonts w:hint="eastAsia" w:cs="宋体" w:asciiTheme="majorEastAsia" w:hAnsiTheme="majorEastAsia" w:eastAsiaTheme="majorEastAsia"/>
          <w:vanish/>
          <w:kern w:val="0"/>
          <w:szCs w:val="21"/>
        </w:rPr>
      </w:pPr>
    </w:p>
    <w:p>
      <w:pPr>
        <w:pStyle w:val="27"/>
        <w:numPr>
          <w:ilvl w:val="0"/>
          <w:numId w:val="4"/>
        </w:numPr>
        <w:tabs>
          <w:tab w:val="left" w:pos="567"/>
        </w:tabs>
        <w:spacing w:line="312" w:lineRule="auto"/>
        <w:ind w:firstLineChars="0"/>
        <w:rPr>
          <w:rFonts w:hint="eastAsia" w:cs="宋体" w:asciiTheme="majorEastAsia" w:hAnsiTheme="majorEastAsia" w:eastAsiaTheme="majorEastAsia"/>
          <w:vanish/>
          <w:kern w:val="0"/>
          <w:szCs w:val="21"/>
        </w:rPr>
      </w:pPr>
    </w:p>
    <w:p>
      <w:pPr>
        <w:pStyle w:val="27"/>
        <w:numPr>
          <w:ilvl w:val="0"/>
          <w:numId w:val="4"/>
        </w:numPr>
        <w:tabs>
          <w:tab w:val="left" w:pos="567"/>
        </w:tabs>
        <w:spacing w:line="312" w:lineRule="auto"/>
        <w:ind w:firstLineChars="0"/>
        <w:rPr>
          <w:rFonts w:hint="eastAsia" w:cs="宋体" w:asciiTheme="majorEastAsia" w:hAnsiTheme="majorEastAsia" w:eastAsiaTheme="majorEastAsia"/>
          <w:vanish/>
          <w:kern w:val="0"/>
          <w:szCs w:val="21"/>
        </w:rPr>
      </w:pPr>
    </w:p>
    <w:p>
      <w:pPr>
        <w:pStyle w:val="27"/>
        <w:numPr>
          <w:ilvl w:val="1"/>
          <w:numId w:val="4"/>
        </w:numPr>
        <w:tabs>
          <w:tab w:val="left" w:pos="567"/>
        </w:tabs>
        <w:spacing w:line="312" w:lineRule="auto"/>
        <w:ind w:firstLineChars="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递交及截止时间：</w:t>
      </w:r>
      <w:r>
        <w:rPr>
          <w:rFonts w:hint="eastAsia" w:asciiTheme="majorEastAsia" w:hAnsiTheme="majorEastAsia" w:eastAsiaTheme="majorEastAsia"/>
        </w:rPr>
        <w:t>2019年</w:t>
      </w:r>
      <w:r>
        <w:rPr>
          <w:rFonts w:hint="eastAsia" w:asciiTheme="majorEastAsia" w:hAnsiTheme="majorEastAsia" w:eastAsiaTheme="majorEastAsia"/>
          <w:b/>
          <w:u w:val="single"/>
        </w:rPr>
        <w:t>12</w:t>
      </w:r>
      <w:r>
        <w:rPr>
          <w:rFonts w:hint="eastAsia" w:asciiTheme="majorEastAsia" w:hAnsiTheme="majorEastAsia" w:eastAsiaTheme="majorEastAsia"/>
        </w:rPr>
        <w:t>月</w:t>
      </w:r>
      <w:r>
        <w:rPr>
          <w:rFonts w:hint="eastAsia" w:asciiTheme="majorEastAsia" w:hAnsiTheme="majorEastAsia" w:eastAsiaTheme="majorEastAsia"/>
          <w:b/>
          <w:u w:val="single"/>
        </w:rPr>
        <w:t>10</w:t>
      </w:r>
      <w:r>
        <w:rPr>
          <w:rFonts w:hint="eastAsia" w:asciiTheme="majorEastAsia" w:hAnsiTheme="majorEastAsia" w:eastAsiaTheme="majorEastAsia"/>
        </w:rPr>
        <w:t>日上午 8:30至9:15（北京时间）</w:t>
      </w:r>
      <w:r>
        <w:rPr>
          <w:rFonts w:hint="eastAsia" w:cs="宋体" w:asciiTheme="majorEastAsia" w:hAnsiTheme="majorEastAsia" w:eastAsiaTheme="majorEastAsia"/>
          <w:kern w:val="0"/>
          <w:szCs w:val="21"/>
        </w:rPr>
        <w:t>。</w:t>
      </w:r>
      <w:r>
        <w:rPr>
          <w:rFonts w:cs="宋体" w:asciiTheme="majorEastAsia" w:hAnsiTheme="majorEastAsia" w:eastAsiaTheme="majorEastAsia"/>
          <w:kern w:val="0"/>
          <w:szCs w:val="21"/>
        </w:rPr>
        <w:tab/>
      </w:r>
    </w:p>
    <w:p>
      <w:pPr>
        <w:pStyle w:val="27"/>
        <w:numPr>
          <w:ilvl w:val="1"/>
          <w:numId w:val="4"/>
        </w:numPr>
        <w:tabs>
          <w:tab w:val="left" w:pos="567"/>
        </w:tabs>
        <w:spacing w:line="312" w:lineRule="auto"/>
        <w:ind w:firstLineChars="0"/>
        <w:rPr>
          <w:rFonts w:asciiTheme="majorEastAsia" w:hAnsiTheme="majorEastAsia" w:eastAsiaTheme="majorEastAsia"/>
        </w:rPr>
      </w:pPr>
      <w:r>
        <w:rPr>
          <w:rFonts w:hint="eastAsia" w:asciiTheme="majorEastAsia" w:hAnsiTheme="majorEastAsia" w:eastAsiaTheme="majorEastAsia"/>
        </w:rPr>
        <w:t>提前递交或逾期递交或不符合规定的竞争性谈判文件恕不接受。且不接受邮寄递交。</w:t>
      </w:r>
    </w:p>
    <w:p>
      <w:pPr>
        <w:pStyle w:val="27"/>
        <w:numPr>
          <w:ilvl w:val="1"/>
          <w:numId w:val="4"/>
        </w:numPr>
        <w:tabs>
          <w:tab w:val="left" w:pos="567"/>
        </w:tabs>
        <w:spacing w:line="312" w:lineRule="auto"/>
        <w:ind w:firstLineChars="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递交地点：</w:t>
      </w:r>
      <w:r>
        <w:rPr>
          <w:rFonts w:hint="eastAsia" w:cs="宋体" w:asciiTheme="majorEastAsia" w:hAnsiTheme="majorEastAsia" w:eastAsiaTheme="majorEastAsia"/>
          <w:kern w:val="0"/>
          <w:szCs w:val="21"/>
        </w:rPr>
        <w:tab/>
      </w:r>
      <w:r>
        <w:rPr>
          <w:rFonts w:hint="eastAsia" w:cs="宋体" w:asciiTheme="majorEastAsia" w:hAnsiTheme="majorEastAsia" w:eastAsiaTheme="majorEastAsia"/>
          <w:kern w:val="0"/>
          <w:szCs w:val="21"/>
        </w:rPr>
        <w:t>广州市花都区赤坭镇培正路53号广东培正学院行政楼一楼中厅采购中心。</w:t>
      </w:r>
    </w:p>
    <w:p>
      <w:pPr>
        <w:numPr>
          <w:ilvl w:val="0"/>
          <w:numId w:val="1"/>
        </w:numPr>
        <w:spacing w:line="312" w:lineRule="auto"/>
        <w:rPr>
          <w:rFonts w:ascii="宋体"/>
          <w:szCs w:val="21"/>
        </w:rPr>
      </w:pPr>
      <w:r>
        <w:rPr>
          <w:rFonts w:hint="eastAsia" w:ascii="宋体"/>
          <w:szCs w:val="21"/>
        </w:rPr>
        <w:t>谈判时间及地点</w:t>
      </w:r>
    </w:p>
    <w:p>
      <w:pPr>
        <w:pStyle w:val="27"/>
        <w:numPr>
          <w:ilvl w:val="0"/>
          <w:numId w:val="5"/>
        </w:numPr>
        <w:tabs>
          <w:tab w:val="left" w:pos="567"/>
        </w:tabs>
        <w:spacing w:line="312" w:lineRule="auto"/>
        <w:ind w:firstLineChars="0"/>
        <w:rPr>
          <w:rFonts w:hint="eastAsia" w:cs="宋体" w:asciiTheme="majorEastAsia" w:hAnsiTheme="majorEastAsia" w:eastAsiaTheme="majorEastAsia"/>
          <w:b/>
          <w:vanish/>
          <w:kern w:val="0"/>
          <w:szCs w:val="21"/>
        </w:rPr>
      </w:pPr>
    </w:p>
    <w:p>
      <w:pPr>
        <w:pStyle w:val="27"/>
        <w:numPr>
          <w:ilvl w:val="0"/>
          <w:numId w:val="5"/>
        </w:numPr>
        <w:tabs>
          <w:tab w:val="left" w:pos="567"/>
        </w:tabs>
        <w:spacing w:line="312" w:lineRule="auto"/>
        <w:ind w:firstLineChars="0"/>
        <w:rPr>
          <w:rFonts w:hint="eastAsia" w:cs="宋体" w:asciiTheme="majorEastAsia" w:hAnsiTheme="majorEastAsia" w:eastAsiaTheme="majorEastAsia"/>
          <w:b/>
          <w:vanish/>
          <w:kern w:val="0"/>
          <w:szCs w:val="21"/>
        </w:rPr>
      </w:pPr>
    </w:p>
    <w:p>
      <w:pPr>
        <w:pStyle w:val="27"/>
        <w:numPr>
          <w:ilvl w:val="0"/>
          <w:numId w:val="5"/>
        </w:numPr>
        <w:tabs>
          <w:tab w:val="left" w:pos="567"/>
        </w:tabs>
        <w:spacing w:line="312" w:lineRule="auto"/>
        <w:ind w:firstLineChars="0"/>
        <w:rPr>
          <w:rFonts w:hint="eastAsia" w:cs="宋体" w:asciiTheme="majorEastAsia" w:hAnsiTheme="majorEastAsia" w:eastAsiaTheme="majorEastAsia"/>
          <w:b/>
          <w:vanish/>
          <w:kern w:val="0"/>
          <w:szCs w:val="21"/>
        </w:rPr>
      </w:pPr>
    </w:p>
    <w:p>
      <w:pPr>
        <w:pStyle w:val="27"/>
        <w:numPr>
          <w:ilvl w:val="0"/>
          <w:numId w:val="5"/>
        </w:numPr>
        <w:tabs>
          <w:tab w:val="left" w:pos="567"/>
        </w:tabs>
        <w:spacing w:line="312" w:lineRule="auto"/>
        <w:ind w:firstLineChars="0"/>
        <w:rPr>
          <w:rFonts w:hint="eastAsia" w:cs="宋体" w:asciiTheme="majorEastAsia" w:hAnsiTheme="majorEastAsia" w:eastAsiaTheme="majorEastAsia"/>
          <w:b/>
          <w:vanish/>
          <w:kern w:val="0"/>
          <w:szCs w:val="21"/>
        </w:rPr>
      </w:pPr>
    </w:p>
    <w:p>
      <w:pPr>
        <w:pStyle w:val="27"/>
        <w:numPr>
          <w:ilvl w:val="0"/>
          <w:numId w:val="5"/>
        </w:numPr>
        <w:tabs>
          <w:tab w:val="left" w:pos="567"/>
        </w:tabs>
        <w:spacing w:line="312" w:lineRule="auto"/>
        <w:ind w:firstLineChars="0"/>
        <w:rPr>
          <w:rFonts w:hint="eastAsia" w:cs="宋体" w:asciiTheme="majorEastAsia" w:hAnsiTheme="majorEastAsia" w:eastAsiaTheme="majorEastAsia"/>
          <w:b/>
          <w:vanish/>
          <w:kern w:val="0"/>
          <w:szCs w:val="21"/>
        </w:rPr>
      </w:pPr>
    </w:p>
    <w:p>
      <w:pPr>
        <w:pStyle w:val="27"/>
        <w:numPr>
          <w:ilvl w:val="0"/>
          <w:numId w:val="5"/>
        </w:numPr>
        <w:tabs>
          <w:tab w:val="left" w:pos="567"/>
        </w:tabs>
        <w:spacing w:line="312" w:lineRule="auto"/>
        <w:ind w:firstLineChars="0"/>
        <w:rPr>
          <w:rFonts w:hint="eastAsia" w:cs="宋体" w:asciiTheme="majorEastAsia" w:hAnsiTheme="majorEastAsia" w:eastAsiaTheme="majorEastAsia"/>
          <w:b/>
          <w:vanish/>
          <w:kern w:val="0"/>
          <w:szCs w:val="21"/>
        </w:rPr>
      </w:pPr>
    </w:p>
    <w:p>
      <w:pPr>
        <w:pStyle w:val="27"/>
        <w:numPr>
          <w:ilvl w:val="0"/>
          <w:numId w:val="5"/>
        </w:numPr>
        <w:tabs>
          <w:tab w:val="left" w:pos="567"/>
        </w:tabs>
        <w:spacing w:line="312" w:lineRule="auto"/>
        <w:ind w:firstLineChars="0"/>
        <w:rPr>
          <w:rFonts w:hint="eastAsia" w:cs="宋体" w:asciiTheme="majorEastAsia" w:hAnsiTheme="majorEastAsia" w:eastAsiaTheme="majorEastAsia"/>
          <w:b/>
          <w:vanish/>
          <w:kern w:val="0"/>
          <w:szCs w:val="21"/>
        </w:rPr>
      </w:pPr>
    </w:p>
    <w:p>
      <w:pPr>
        <w:pStyle w:val="27"/>
        <w:numPr>
          <w:ilvl w:val="1"/>
          <w:numId w:val="5"/>
        </w:numPr>
        <w:tabs>
          <w:tab w:val="left" w:pos="567"/>
        </w:tabs>
        <w:spacing w:line="312" w:lineRule="auto"/>
        <w:ind w:firstLineChars="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谈判时间：2019年</w:t>
      </w:r>
      <w:r>
        <w:rPr>
          <w:rFonts w:hint="eastAsia" w:cs="宋体" w:asciiTheme="majorEastAsia" w:hAnsiTheme="majorEastAsia" w:eastAsiaTheme="majorEastAsia"/>
          <w:b/>
          <w:kern w:val="0"/>
          <w:szCs w:val="21"/>
          <w:u w:val="single"/>
        </w:rPr>
        <w:t>12</w:t>
      </w:r>
      <w:r>
        <w:rPr>
          <w:rFonts w:hint="eastAsia" w:cs="宋体" w:asciiTheme="majorEastAsia" w:hAnsiTheme="majorEastAsia" w:eastAsiaTheme="majorEastAsia"/>
          <w:kern w:val="0"/>
          <w:szCs w:val="21"/>
        </w:rPr>
        <w:t>月</w:t>
      </w:r>
      <w:r>
        <w:rPr>
          <w:rFonts w:hint="eastAsia" w:cs="宋体" w:asciiTheme="majorEastAsia" w:hAnsiTheme="majorEastAsia" w:eastAsiaTheme="majorEastAsia"/>
          <w:b/>
          <w:kern w:val="0"/>
          <w:szCs w:val="21"/>
          <w:u w:val="single"/>
        </w:rPr>
        <w:t>10</w:t>
      </w:r>
      <w:r>
        <w:rPr>
          <w:rFonts w:hint="eastAsia" w:cs="宋体" w:asciiTheme="majorEastAsia" w:hAnsiTheme="majorEastAsia" w:eastAsiaTheme="majorEastAsia"/>
          <w:kern w:val="0"/>
          <w:szCs w:val="21"/>
        </w:rPr>
        <w:t>日上午</w:t>
      </w:r>
      <w:r>
        <w:rPr>
          <w:rFonts w:hint="eastAsia" w:cs="宋体" w:asciiTheme="majorEastAsia" w:hAnsiTheme="majorEastAsia" w:eastAsiaTheme="majorEastAsia"/>
          <w:b/>
          <w:kern w:val="0"/>
          <w:szCs w:val="21"/>
        </w:rPr>
        <w:t>9：30</w:t>
      </w:r>
      <w:r>
        <w:rPr>
          <w:rFonts w:hint="eastAsia" w:cs="宋体" w:asciiTheme="majorEastAsia" w:hAnsiTheme="majorEastAsia" w:eastAsiaTheme="majorEastAsia"/>
          <w:kern w:val="0"/>
          <w:szCs w:val="21"/>
        </w:rPr>
        <w:t>开始；</w:t>
      </w:r>
    </w:p>
    <w:p>
      <w:pPr>
        <w:pStyle w:val="27"/>
        <w:numPr>
          <w:ilvl w:val="1"/>
          <w:numId w:val="5"/>
        </w:numPr>
        <w:tabs>
          <w:tab w:val="left" w:pos="567"/>
        </w:tabs>
        <w:spacing w:line="312" w:lineRule="auto"/>
        <w:ind w:firstLineChars="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谈判地点：广州市花都区赤坭镇培正路53号广东培正学院（具体地点当天通知）。</w:t>
      </w:r>
    </w:p>
    <w:p>
      <w:pPr>
        <w:numPr>
          <w:ilvl w:val="0"/>
          <w:numId w:val="1"/>
        </w:numPr>
        <w:spacing w:line="312" w:lineRule="auto"/>
        <w:rPr>
          <w:rFonts w:hint="eastAsia" w:ascii="宋体"/>
          <w:szCs w:val="21"/>
        </w:rPr>
      </w:pPr>
      <w:r>
        <w:rPr>
          <w:rFonts w:hint="eastAsia" w:ascii="宋体"/>
          <w:szCs w:val="21"/>
        </w:rPr>
        <w:t>采购人联系方式</w:t>
      </w:r>
    </w:p>
    <w:p>
      <w:pPr>
        <w:pStyle w:val="27"/>
        <w:numPr>
          <w:ilvl w:val="0"/>
          <w:numId w:val="2"/>
        </w:numPr>
        <w:spacing w:line="312" w:lineRule="auto"/>
        <w:ind w:firstLineChars="0"/>
        <w:rPr>
          <w:rFonts w:hint="eastAsia" w:asciiTheme="majorEastAsia" w:hAnsiTheme="majorEastAsia" w:eastAsiaTheme="majorEastAsia"/>
          <w:vanish/>
        </w:rPr>
      </w:pPr>
    </w:p>
    <w:p>
      <w:pPr>
        <w:pStyle w:val="27"/>
        <w:numPr>
          <w:ilvl w:val="0"/>
          <w:numId w:val="2"/>
        </w:numPr>
        <w:spacing w:line="312" w:lineRule="auto"/>
        <w:ind w:firstLineChars="0"/>
        <w:rPr>
          <w:rFonts w:hint="eastAsia" w:asciiTheme="majorEastAsia" w:hAnsiTheme="majorEastAsia" w:eastAsiaTheme="majorEastAsia"/>
          <w:vanish/>
        </w:rPr>
      </w:pPr>
    </w:p>
    <w:p>
      <w:pPr>
        <w:pStyle w:val="27"/>
        <w:numPr>
          <w:ilvl w:val="0"/>
          <w:numId w:val="2"/>
        </w:numPr>
        <w:spacing w:line="312" w:lineRule="auto"/>
        <w:ind w:firstLineChars="0"/>
        <w:rPr>
          <w:rFonts w:hint="eastAsia" w:asciiTheme="majorEastAsia" w:hAnsiTheme="majorEastAsia" w:eastAsiaTheme="majorEastAsia"/>
          <w:vanish/>
        </w:rPr>
      </w:pPr>
    </w:p>
    <w:p>
      <w:pPr>
        <w:pStyle w:val="27"/>
        <w:numPr>
          <w:ilvl w:val="0"/>
          <w:numId w:val="2"/>
        </w:numPr>
        <w:spacing w:line="312" w:lineRule="auto"/>
        <w:ind w:firstLineChars="0"/>
        <w:rPr>
          <w:rFonts w:hint="eastAsia" w:asciiTheme="majorEastAsia" w:hAnsiTheme="majorEastAsia" w:eastAsiaTheme="majorEastAsia"/>
          <w:vanish/>
        </w:rPr>
      </w:pPr>
    </w:p>
    <w:p>
      <w:pPr>
        <w:pStyle w:val="27"/>
        <w:numPr>
          <w:ilvl w:val="1"/>
          <w:numId w:val="2"/>
        </w:numPr>
        <w:spacing w:line="312" w:lineRule="auto"/>
        <w:ind w:firstLineChars="0"/>
        <w:rPr>
          <w:rFonts w:asciiTheme="majorEastAsia" w:hAnsiTheme="majorEastAsia" w:eastAsiaTheme="majorEastAsia"/>
        </w:rPr>
      </w:pPr>
      <w:r>
        <w:rPr>
          <w:rFonts w:hint="eastAsia" w:asciiTheme="majorEastAsia" w:hAnsiTheme="majorEastAsia" w:eastAsiaTheme="majorEastAsia"/>
        </w:rPr>
        <w:t>联系人：马老师</w:t>
      </w:r>
    </w:p>
    <w:p>
      <w:pPr>
        <w:pStyle w:val="27"/>
        <w:numPr>
          <w:ilvl w:val="1"/>
          <w:numId w:val="2"/>
        </w:numPr>
        <w:spacing w:line="312" w:lineRule="auto"/>
        <w:ind w:firstLineChars="0"/>
        <w:rPr>
          <w:rFonts w:asciiTheme="majorEastAsia" w:hAnsiTheme="majorEastAsia" w:eastAsiaTheme="majorEastAsia"/>
        </w:rPr>
      </w:pPr>
      <w:r>
        <w:rPr>
          <w:rFonts w:hint="eastAsia" w:asciiTheme="majorEastAsia" w:hAnsiTheme="majorEastAsia" w:eastAsiaTheme="majorEastAsia"/>
        </w:rPr>
        <w:t>电话： 020-86842284</w:t>
      </w:r>
    </w:p>
    <w:p>
      <w:pPr>
        <w:pStyle w:val="27"/>
        <w:numPr>
          <w:ilvl w:val="1"/>
          <w:numId w:val="2"/>
        </w:numPr>
        <w:spacing w:line="312" w:lineRule="auto"/>
        <w:ind w:firstLineChars="0"/>
        <w:rPr>
          <w:rFonts w:asciiTheme="majorEastAsia" w:hAnsiTheme="majorEastAsia" w:eastAsiaTheme="majorEastAsia"/>
        </w:rPr>
      </w:pPr>
      <w:r>
        <w:rPr>
          <w:rFonts w:hint="eastAsia" w:asciiTheme="majorEastAsia" w:hAnsiTheme="majorEastAsia" w:eastAsiaTheme="majorEastAsia"/>
        </w:rPr>
        <w:t>邮箱：</w:t>
      </w:r>
      <w:r>
        <w:rPr>
          <w:rFonts w:asciiTheme="majorEastAsia" w:hAnsiTheme="majorEastAsia" w:eastAsiaTheme="majorEastAsia"/>
        </w:rPr>
        <w:t>pzcgzx@126.com</w:t>
      </w:r>
    </w:p>
    <w:p>
      <w:pPr>
        <w:numPr>
          <w:ilvl w:val="0"/>
          <w:numId w:val="1"/>
        </w:numPr>
        <w:spacing w:line="312" w:lineRule="auto"/>
        <w:rPr>
          <w:rFonts w:ascii="宋体"/>
          <w:szCs w:val="21"/>
        </w:rPr>
      </w:pPr>
      <w:r>
        <w:rPr>
          <w:rFonts w:hint="eastAsia" w:ascii="宋体"/>
          <w:szCs w:val="21"/>
        </w:rPr>
        <w:t>监督投诉电话：020-86710003；监督投诉邮箱：</w:t>
      </w:r>
      <w:r>
        <w:rPr>
          <w:rFonts w:ascii="宋体"/>
          <w:szCs w:val="21"/>
        </w:rPr>
        <w:t>pzdyjc@sina.com</w:t>
      </w:r>
    </w:p>
    <w:p>
      <w:pPr>
        <w:tabs>
          <w:tab w:val="left" w:pos="540"/>
        </w:tabs>
        <w:spacing w:line="312" w:lineRule="auto"/>
        <w:rPr>
          <w:rFonts w:ascii="宋体" w:hAnsi="宋体" w:cs="宋体"/>
          <w:kern w:val="0"/>
          <w:szCs w:val="21"/>
        </w:rPr>
      </w:pPr>
    </w:p>
    <w:p>
      <w:pPr>
        <w:tabs>
          <w:tab w:val="left" w:pos="540"/>
        </w:tabs>
        <w:spacing w:line="312" w:lineRule="auto"/>
        <w:rPr>
          <w:rFonts w:ascii="宋体" w:hAnsi="宋体" w:cs="宋体"/>
          <w:kern w:val="0"/>
          <w:szCs w:val="21"/>
        </w:rPr>
      </w:pPr>
    </w:p>
    <w:p>
      <w:pPr>
        <w:tabs>
          <w:tab w:val="left" w:pos="540"/>
        </w:tabs>
        <w:spacing w:line="312" w:lineRule="auto"/>
        <w:rPr>
          <w:rFonts w:ascii="宋体" w:hAnsi="宋体" w:cs="宋体"/>
          <w:kern w:val="0"/>
          <w:szCs w:val="21"/>
        </w:rPr>
      </w:pPr>
    </w:p>
    <w:p>
      <w:pPr>
        <w:tabs>
          <w:tab w:val="left" w:pos="540"/>
        </w:tabs>
        <w:spacing w:line="312" w:lineRule="auto"/>
        <w:rPr>
          <w:rFonts w:ascii="宋体" w:hAnsi="宋体" w:cs="宋体"/>
          <w:kern w:val="0"/>
          <w:szCs w:val="21"/>
        </w:rPr>
      </w:pPr>
    </w:p>
    <w:p>
      <w:pPr>
        <w:pStyle w:val="2"/>
      </w:pPr>
      <w:bookmarkStart w:id="2" w:name="_Toc497405389"/>
      <w:r>
        <w:rPr>
          <w:rFonts w:hint="eastAsia"/>
        </w:rPr>
        <w:t>第二部分  竞争性谈判须知</w:t>
      </w:r>
      <w:bookmarkEnd w:id="2"/>
    </w:p>
    <w:p>
      <w:pPr>
        <w:numPr>
          <w:ilvl w:val="0"/>
          <w:numId w:val="6"/>
        </w:numPr>
        <w:tabs>
          <w:tab w:val="left" w:pos="540"/>
        </w:tabs>
        <w:spacing w:beforeLines="25" w:afterLines="25" w:line="312" w:lineRule="auto"/>
        <w:rPr>
          <w:rFonts w:ascii="宋体" w:hAnsi="宋体" w:cs="宋体"/>
          <w:b/>
          <w:kern w:val="0"/>
          <w:sz w:val="24"/>
        </w:rPr>
      </w:pPr>
      <w:r>
        <w:rPr>
          <w:rFonts w:hint="eastAsia" w:ascii="宋体" w:hAnsi="宋体" w:cs="宋体"/>
          <w:b/>
          <w:kern w:val="0"/>
          <w:sz w:val="24"/>
        </w:rPr>
        <w:t>说明</w:t>
      </w:r>
    </w:p>
    <w:p>
      <w:pPr>
        <w:numPr>
          <w:ilvl w:val="0"/>
          <w:numId w:val="7"/>
        </w:numPr>
        <w:spacing w:line="312" w:lineRule="auto"/>
        <w:rPr>
          <w:rFonts w:ascii="宋体"/>
          <w:b/>
          <w:szCs w:val="21"/>
        </w:rPr>
      </w:pPr>
      <w:r>
        <w:rPr>
          <w:rFonts w:hint="eastAsia" w:ascii="宋体"/>
          <w:b/>
          <w:szCs w:val="21"/>
        </w:rPr>
        <w:t>适用范围</w:t>
      </w:r>
    </w:p>
    <w:p>
      <w:pPr>
        <w:pStyle w:val="27"/>
        <w:numPr>
          <w:ilvl w:val="1"/>
          <w:numId w:val="7"/>
        </w:numPr>
        <w:tabs>
          <w:tab w:val="left" w:pos="567"/>
        </w:tabs>
        <w:spacing w:line="312" w:lineRule="auto"/>
        <w:ind w:firstLineChars="0"/>
        <w:rPr>
          <w:rFonts w:ascii="宋体"/>
          <w:b/>
          <w:szCs w:val="21"/>
        </w:rPr>
      </w:pPr>
      <w:r>
        <w:rPr>
          <w:rFonts w:hint="eastAsia" w:ascii="宋体" w:hAnsi="宋体"/>
          <w:szCs w:val="21"/>
        </w:rPr>
        <w:t>本竞争性谈判文件仅适用于本文竞争性谈判邀请中所叙述的项目范围。</w:t>
      </w:r>
    </w:p>
    <w:p>
      <w:pPr>
        <w:numPr>
          <w:ilvl w:val="0"/>
          <w:numId w:val="7"/>
        </w:numPr>
        <w:spacing w:line="312" w:lineRule="auto"/>
        <w:rPr>
          <w:rFonts w:ascii="宋体"/>
          <w:b/>
          <w:szCs w:val="21"/>
        </w:rPr>
      </w:pPr>
      <w:r>
        <w:rPr>
          <w:rFonts w:hint="eastAsia" w:ascii="宋体"/>
          <w:b/>
          <w:szCs w:val="21"/>
        </w:rPr>
        <w:t>定义及约定</w:t>
      </w:r>
    </w:p>
    <w:p>
      <w:pPr>
        <w:numPr>
          <w:ilvl w:val="1"/>
          <w:numId w:val="7"/>
        </w:numPr>
        <w:tabs>
          <w:tab w:val="left" w:pos="567"/>
          <w:tab w:val="left" w:pos="851"/>
          <w:tab w:val="clear" w:pos="794"/>
        </w:tabs>
        <w:spacing w:line="312" w:lineRule="auto"/>
        <w:ind w:left="567" w:hanging="454"/>
        <w:rPr>
          <w:rFonts w:ascii="宋体"/>
          <w:szCs w:val="21"/>
        </w:rPr>
      </w:pPr>
      <w:r>
        <w:rPr>
          <w:rFonts w:hint="eastAsia" w:ascii="宋体"/>
          <w:szCs w:val="21"/>
        </w:rPr>
        <w:t>“采购人”：指</w:t>
      </w:r>
      <w:r>
        <w:rPr>
          <w:rFonts w:hint="eastAsia"/>
        </w:rPr>
        <w:t>发布竞争性谈判文件并组织执行本项目采购的</w:t>
      </w:r>
      <w:r>
        <w:rPr>
          <w:rFonts w:hint="eastAsia" w:ascii="宋体"/>
          <w:szCs w:val="21"/>
        </w:rPr>
        <w:t>广东培正学院。</w:t>
      </w:r>
    </w:p>
    <w:p>
      <w:pPr>
        <w:numPr>
          <w:ilvl w:val="1"/>
          <w:numId w:val="7"/>
        </w:numPr>
        <w:tabs>
          <w:tab w:val="left" w:pos="567"/>
          <w:tab w:val="left" w:pos="993"/>
          <w:tab w:val="clear" w:pos="794"/>
        </w:tabs>
        <w:spacing w:line="312" w:lineRule="auto"/>
        <w:ind w:left="567" w:hanging="454"/>
        <w:rPr>
          <w:rFonts w:ascii="宋体"/>
          <w:szCs w:val="21"/>
        </w:rPr>
      </w:pPr>
      <w:r>
        <w:rPr>
          <w:rFonts w:hint="eastAsia" w:ascii="宋体"/>
          <w:szCs w:val="21"/>
        </w:rPr>
        <w:t>“</w:t>
      </w:r>
      <w:r>
        <w:rPr>
          <w:rFonts w:ascii="宋体"/>
          <w:szCs w:val="21"/>
        </w:rPr>
        <w:t>响应人</w:t>
      </w:r>
      <w:r>
        <w:rPr>
          <w:rFonts w:hint="eastAsia" w:ascii="宋体"/>
          <w:szCs w:val="21"/>
        </w:rPr>
        <w:t>”：指向采购人提交</w:t>
      </w:r>
      <w:r>
        <w:rPr>
          <w:rFonts w:ascii="宋体"/>
          <w:szCs w:val="21"/>
        </w:rPr>
        <w:t>响应文件</w:t>
      </w:r>
      <w:r>
        <w:rPr>
          <w:rFonts w:hint="eastAsia" w:ascii="宋体"/>
          <w:szCs w:val="21"/>
        </w:rPr>
        <w:t>并参与竞争性谈判的</w:t>
      </w:r>
      <w:r>
        <w:rPr>
          <w:rFonts w:ascii="宋体" w:hAnsi="宋体"/>
          <w:szCs w:val="21"/>
        </w:rPr>
        <w:t>法人或其它组织</w:t>
      </w:r>
      <w:r>
        <w:rPr>
          <w:rFonts w:hint="eastAsia" w:ascii="宋体"/>
          <w:szCs w:val="21"/>
        </w:rPr>
        <w:t>。</w:t>
      </w:r>
    </w:p>
    <w:p>
      <w:pPr>
        <w:numPr>
          <w:ilvl w:val="1"/>
          <w:numId w:val="7"/>
        </w:numPr>
        <w:tabs>
          <w:tab w:val="left" w:pos="567"/>
          <w:tab w:val="left" w:pos="993"/>
          <w:tab w:val="clear" w:pos="794"/>
        </w:tabs>
        <w:spacing w:line="312" w:lineRule="auto"/>
        <w:ind w:left="567" w:hanging="454"/>
        <w:rPr>
          <w:rFonts w:ascii="宋体"/>
          <w:szCs w:val="21"/>
        </w:rPr>
      </w:pPr>
      <w:r>
        <w:rPr>
          <w:rFonts w:hint="eastAsia" w:ascii="宋体"/>
          <w:szCs w:val="21"/>
        </w:rPr>
        <w:t>“成交供应商”：指经谈判成交的</w:t>
      </w:r>
      <w:r>
        <w:rPr>
          <w:rFonts w:ascii="宋体"/>
          <w:szCs w:val="21"/>
        </w:rPr>
        <w:t>响应人</w:t>
      </w:r>
      <w:r>
        <w:rPr>
          <w:rFonts w:hint="eastAsia" w:ascii="宋体"/>
          <w:szCs w:val="21"/>
        </w:rPr>
        <w:t>，合同的一方当事人。</w:t>
      </w:r>
    </w:p>
    <w:p>
      <w:pPr>
        <w:numPr>
          <w:ilvl w:val="1"/>
          <w:numId w:val="7"/>
        </w:numPr>
        <w:tabs>
          <w:tab w:val="left" w:pos="567"/>
          <w:tab w:val="left" w:pos="993"/>
          <w:tab w:val="clear" w:pos="794"/>
        </w:tabs>
        <w:spacing w:line="312" w:lineRule="auto"/>
        <w:ind w:left="567" w:hanging="454"/>
        <w:rPr>
          <w:rFonts w:ascii="宋体"/>
          <w:szCs w:val="21"/>
        </w:rPr>
      </w:pPr>
      <w:r>
        <w:rPr>
          <w:rFonts w:hint="eastAsia" w:ascii="宋体"/>
          <w:szCs w:val="21"/>
        </w:rPr>
        <w:t>“货物”：</w:t>
      </w:r>
      <w:r>
        <w:rPr>
          <w:rFonts w:hint="eastAsia" w:ascii="宋体"/>
          <w:szCs w:val="21"/>
        </w:rPr>
        <w:tab/>
      </w:r>
      <w:r>
        <w:rPr>
          <w:rFonts w:hint="eastAsia" w:ascii="宋体"/>
          <w:szCs w:val="21"/>
        </w:rPr>
        <w:t>指</w:t>
      </w:r>
      <w:r>
        <w:rPr>
          <w:rFonts w:ascii="宋体"/>
          <w:szCs w:val="21"/>
        </w:rPr>
        <w:t>响应人</w:t>
      </w:r>
      <w:r>
        <w:rPr>
          <w:rFonts w:hint="eastAsia" w:ascii="宋体"/>
          <w:szCs w:val="21"/>
        </w:rPr>
        <w:t>为满足谈判文件要求而提供的所有设备、保险、税金、备品备件、工具、手册、图纸、软件及其它有关技术资料和材料。</w:t>
      </w:r>
    </w:p>
    <w:p>
      <w:pPr>
        <w:numPr>
          <w:ilvl w:val="1"/>
          <w:numId w:val="7"/>
        </w:numPr>
        <w:tabs>
          <w:tab w:val="left" w:pos="567"/>
          <w:tab w:val="left" w:pos="993"/>
          <w:tab w:val="clear" w:pos="794"/>
        </w:tabs>
        <w:spacing w:line="312" w:lineRule="auto"/>
        <w:ind w:left="567" w:hanging="454"/>
        <w:rPr>
          <w:rFonts w:ascii="宋体"/>
          <w:szCs w:val="21"/>
        </w:rPr>
      </w:pPr>
      <w:r>
        <w:rPr>
          <w:rFonts w:hint="eastAsia" w:ascii="宋体"/>
          <w:szCs w:val="21"/>
        </w:rPr>
        <w:t>“工程、服务”：指与</w:t>
      </w:r>
      <w:r>
        <w:rPr>
          <w:rFonts w:ascii="宋体"/>
          <w:szCs w:val="21"/>
        </w:rPr>
        <w:t>响应人</w:t>
      </w:r>
      <w:r>
        <w:rPr>
          <w:rFonts w:hint="eastAsia" w:ascii="宋体"/>
          <w:szCs w:val="21"/>
        </w:rPr>
        <w:t>提供的货物相关的设计、运输、保险、安装、调试、培训、保证、技术支持等义务以及谈判文件中要求的其他应承担义务。</w:t>
      </w:r>
    </w:p>
    <w:p>
      <w:pPr>
        <w:numPr>
          <w:ilvl w:val="0"/>
          <w:numId w:val="7"/>
        </w:numPr>
        <w:spacing w:line="312" w:lineRule="auto"/>
        <w:rPr>
          <w:rFonts w:ascii="宋体"/>
          <w:b/>
          <w:szCs w:val="21"/>
        </w:rPr>
      </w:pPr>
      <w:r>
        <w:rPr>
          <w:rFonts w:hint="eastAsia" w:ascii="宋体"/>
          <w:b/>
          <w:szCs w:val="21"/>
        </w:rPr>
        <w:t>合格</w:t>
      </w:r>
      <w:r>
        <w:rPr>
          <w:rFonts w:ascii="宋体"/>
          <w:b/>
          <w:szCs w:val="21"/>
        </w:rPr>
        <w:t>响应人</w:t>
      </w:r>
      <w:r>
        <w:rPr>
          <w:rFonts w:hint="eastAsia" w:ascii="宋体"/>
          <w:b/>
          <w:szCs w:val="21"/>
        </w:rPr>
        <w:t>的条件：</w:t>
      </w:r>
    </w:p>
    <w:p>
      <w:pPr>
        <w:pStyle w:val="27"/>
        <w:widowControl/>
        <w:numPr>
          <w:ilvl w:val="0"/>
          <w:numId w:val="8"/>
        </w:numPr>
        <w:shd w:val="clear" w:color="auto" w:fill="FFFFFF"/>
        <w:spacing w:line="360" w:lineRule="auto"/>
        <w:ind w:firstLineChars="0"/>
        <w:jc w:val="left"/>
        <w:rPr>
          <w:rFonts w:hint="eastAsia" w:ascii="宋体" w:hAnsi="宋体"/>
          <w:vanish/>
          <w:color w:val="000000"/>
          <w:kern w:val="0"/>
          <w:szCs w:val="21"/>
        </w:rPr>
      </w:pPr>
    </w:p>
    <w:p>
      <w:pPr>
        <w:pStyle w:val="27"/>
        <w:widowControl/>
        <w:numPr>
          <w:ilvl w:val="0"/>
          <w:numId w:val="8"/>
        </w:numPr>
        <w:shd w:val="clear" w:color="auto" w:fill="FFFFFF"/>
        <w:spacing w:line="360" w:lineRule="auto"/>
        <w:ind w:firstLineChars="0"/>
        <w:jc w:val="left"/>
        <w:rPr>
          <w:rFonts w:hint="eastAsia" w:ascii="宋体" w:hAnsi="宋体"/>
          <w:vanish/>
          <w:color w:val="000000"/>
          <w:kern w:val="0"/>
          <w:szCs w:val="21"/>
        </w:rPr>
      </w:pPr>
    </w:p>
    <w:p>
      <w:pPr>
        <w:pStyle w:val="27"/>
        <w:widowControl/>
        <w:numPr>
          <w:ilvl w:val="0"/>
          <w:numId w:val="8"/>
        </w:numPr>
        <w:shd w:val="clear" w:color="auto" w:fill="FFFFFF"/>
        <w:spacing w:line="360" w:lineRule="auto"/>
        <w:ind w:firstLineChars="0"/>
        <w:jc w:val="left"/>
        <w:rPr>
          <w:rFonts w:hint="eastAsia" w:ascii="宋体" w:hAnsi="宋体"/>
          <w:vanish/>
          <w:color w:val="000000"/>
          <w:kern w:val="0"/>
          <w:szCs w:val="21"/>
        </w:rPr>
      </w:pPr>
    </w:p>
    <w:p>
      <w:pPr>
        <w:pStyle w:val="27"/>
        <w:widowControl/>
        <w:numPr>
          <w:ilvl w:val="1"/>
          <w:numId w:val="8"/>
        </w:numPr>
        <w:shd w:val="clear" w:color="auto" w:fill="FFFFFF"/>
        <w:spacing w:line="360" w:lineRule="auto"/>
        <w:ind w:hanging="425" w:firstLineChars="0"/>
        <w:jc w:val="left"/>
        <w:rPr>
          <w:rFonts w:ascii="宋体" w:hAnsi="宋体"/>
          <w:color w:val="000000" w:themeColor="text1"/>
          <w:kern w:val="0"/>
          <w:szCs w:val="21"/>
        </w:rPr>
      </w:pPr>
      <w:r>
        <w:rPr>
          <w:rFonts w:hint="eastAsia" w:ascii="宋体" w:hAnsi="宋体"/>
          <w:color w:val="000000"/>
          <w:kern w:val="0"/>
          <w:szCs w:val="21"/>
        </w:rPr>
        <w:t>在中华人民共和国境内注册的具有独立法人资格的企业，</w:t>
      </w:r>
      <w:r>
        <w:rPr>
          <w:rFonts w:hint="eastAsia" w:ascii="宋体" w:hAnsi="宋体"/>
          <w:color w:val="000000" w:themeColor="text1"/>
          <w:kern w:val="0"/>
          <w:szCs w:val="21"/>
        </w:rPr>
        <w:t>且注册资金人民币</w:t>
      </w:r>
      <w:r>
        <w:rPr>
          <w:rFonts w:hint="eastAsia" w:ascii="宋体" w:hAnsi="宋体"/>
          <w:bCs/>
          <w:color w:val="000000" w:themeColor="text1"/>
          <w:kern w:val="0"/>
          <w:szCs w:val="21"/>
        </w:rPr>
        <w:t>200</w:t>
      </w:r>
      <w:r>
        <w:rPr>
          <w:rFonts w:hint="eastAsia" w:ascii="宋体" w:hAnsi="宋体"/>
          <w:color w:val="000000" w:themeColor="text1"/>
          <w:kern w:val="0"/>
          <w:szCs w:val="21"/>
        </w:rPr>
        <w:t>万元（含200万元）以上；</w:t>
      </w:r>
    </w:p>
    <w:p>
      <w:pPr>
        <w:pStyle w:val="27"/>
        <w:widowControl/>
        <w:numPr>
          <w:ilvl w:val="1"/>
          <w:numId w:val="8"/>
        </w:numPr>
        <w:shd w:val="clear" w:color="auto" w:fill="FFFFFF"/>
        <w:spacing w:line="360" w:lineRule="auto"/>
        <w:ind w:hanging="425" w:firstLineChars="0"/>
        <w:jc w:val="left"/>
        <w:rPr>
          <w:rFonts w:hint="eastAsia" w:ascii="宋体" w:hAnsi="宋体"/>
          <w:color w:val="000000" w:themeColor="text1"/>
          <w:kern w:val="0"/>
          <w:szCs w:val="21"/>
        </w:rPr>
      </w:pPr>
      <w:r>
        <w:rPr>
          <w:rFonts w:hint="eastAsia" w:ascii="宋体" w:hAnsi="宋体"/>
          <w:color w:val="000000" w:themeColor="text1"/>
          <w:kern w:val="0"/>
          <w:szCs w:val="21"/>
        </w:rPr>
        <w:t>具备省级公安厅安全技术防范管理办公室颁发的安全技术防范工程三级或以上设计、施工、维修资质。在外省注册公司需在广东省公安厅备案证明；</w:t>
      </w:r>
    </w:p>
    <w:p>
      <w:pPr>
        <w:pStyle w:val="27"/>
        <w:widowControl/>
        <w:numPr>
          <w:ilvl w:val="1"/>
          <w:numId w:val="8"/>
        </w:numPr>
        <w:shd w:val="clear" w:color="auto" w:fill="FFFFFF"/>
        <w:spacing w:line="360" w:lineRule="auto"/>
        <w:ind w:hanging="425" w:firstLineChars="0"/>
        <w:jc w:val="left"/>
        <w:rPr>
          <w:rFonts w:ascii="宋体" w:hAnsi="宋体"/>
          <w:color w:val="000000" w:themeColor="text1"/>
          <w:kern w:val="0"/>
          <w:szCs w:val="21"/>
        </w:rPr>
      </w:pPr>
      <w:r>
        <w:rPr>
          <w:rFonts w:hint="eastAsia" w:ascii="宋体" w:cs="宋体"/>
          <w:color w:val="000000"/>
          <w:kern w:val="0"/>
          <w:szCs w:val="21"/>
        </w:rPr>
        <w:t>接到采购人邀请并按规定交纳了保证金的响应人；</w:t>
      </w:r>
    </w:p>
    <w:p>
      <w:pPr>
        <w:pStyle w:val="27"/>
        <w:widowControl/>
        <w:numPr>
          <w:ilvl w:val="1"/>
          <w:numId w:val="8"/>
        </w:numPr>
        <w:shd w:val="clear" w:color="auto" w:fill="FFFFFF"/>
        <w:spacing w:line="360" w:lineRule="auto"/>
        <w:ind w:hanging="425" w:firstLineChars="0"/>
        <w:jc w:val="left"/>
        <w:rPr>
          <w:color w:val="000000" w:themeColor="text1"/>
          <w:kern w:val="0"/>
          <w:szCs w:val="21"/>
        </w:rPr>
      </w:pPr>
      <w:r>
        <w:rPr>
          <w:rFonts w:hint="eastAsia" w:ascii="宋体" w:hAnsi="宋体"/>
          <w:color w:val="000000" w:themeColor="text1"/>
          <w:kern w:val="0"/>
          <w:szCs w:val="21"/>
        </w:rPr>
        <w:t>本项目不接受联合体谈判。</w:t>
      </w:r>
    </w:p>
    <w:p>
      <w:pPr>
        <w:numPr>
          <w:ilvl w:val="0"/>
          <w:numId w:val="7"/>
        </w:numPr>
        <w:spacing w:line="312" w:lineRule="auto"/>
        <w:rPr>
          <w:rFonts w:ascii="宋体"/>
          <w:b/>
          <w:szCs w:val="21"/>
        </w:rPr>
      </w:pPr>
      <w:r>
        <w:rPr>
          <w:rFonts w:hint="eastAsia" w:ascii="宋体"/>
          <w:b/>
          <w:szCs w:val="21"/>
        </w:rPr>
        <w:t>保证</w:t>
      </w:r>
    </w:p>
    <w:p>
      <w:pPr>
        <w:tabs>
          <w:tab w:val="left" w:pos="567"/>
        </w:tabs>
        <w:spacing w:line="312" w:lineRule="auto"/>
        <w:ind w:left="567"/>
        <w:rPr>
          <w:rFonts w:ascii="宋体"/>
          <w:b/>
          <w:szCs w:val="21"/>
        </w:rPr>
      </w:pPr>
      <w:r>
        <w:rPr>
          <w:color w:val="000000"/>
          <w:szCs w:val="21"/>
        </w:rPr>
        <w:t>响应人</w:t>
      </w:r>
      <w:r>
        <w:rPr>
          <w:rFonts w:hint="eastAsia"/>
        </w:rPr>
        <w:t>一旦获取了本谈判文件并参加谈判，即被认为接受了本谈判文件的所有条件和规定，</w:t>
      </w:r>
      <w:r>
        <w:rPr>
          <w:color w:val="000000"/>
          <w:szCs w:val="21"/>
        </w:rPr>
        <w:t>响应人</w:t>
      </w:r>
      <w:r>
        <w:rPr>
          <w:rFonts w:hint="eastAsia"/>
          <w:color w:val="000000"/>
          <w:szCs w:val="21"/>
        </w:rPr>
        <w:t>应保证所提交给采购人的资料和数据是真实的，并承担相应的法律责任。</w:t>
      </w:r>
    </w:p>
    <w:p>
      <w:pPr>
        <w:numPr>
          <w:ilvl w:val="0"/>
          <w:numId w:val="7"/>
        </w:numPr>
        <w:spacing w:line="312" w:lineRule="auto"/>
        <w:rPr>
          <w:rFonts w:ascii="宋体"/>
          <w:b/>
          <w:szCs w:val="21"/>
        </w:rPr>
      </w:pPr>
      <w:r>
        <w:rPr>
          <w:rFonts w:hint="eastAsia" w:ascii="宋体"/>
          <w:b/>
          <w:szCs w:val="21"/>
        </w:rPr>
        <w:t>谈判费用</w:t>
      </w:r>
    </w:p>
    <w:p>
      <w:pPr>
        <w:tabs>
          <w:tab w:val="left" w:pos="567"/>
        </w:tabs>
        <w:spacing w:line="312" w:lineRule="auto"/>
        <w:ind w:left="567"/>
        <w:rPr>
          <w:rFonts w:ascii="宋体"/>
          <w:szCs w:val="21"/>
        </w:rPr>
      </w:pPr>
      <w:r>
        <w:rPr>
          <w:rFonts w:ascii="宋体"/>
          <w:szCs w:val="21"/>
        </w:rPr>
        <w:t>响应人</w:t>
      </w:r>
      <w:r>
        <w:rPr>
          <w:rFonts w:hint="eastAsia" w:ascii="宋体"/>
          <w:szCs w:val="21"/>
        </w:rPr>
        <w:t>应承担其准备和参加本次竞争性谈判的所有费用，采购人在任何情况下均无义务和责任承担这些费用。</w:t>
      </w:r>
    </w:p>
    <w:p>
      <w:pPr>
        <w:numPr>
          <w:ilvl w:val="0"/>
          <w:numId w:val="6"/>
        </w:numPr>
        <w:tabs>
          <w:tab w:val="left" w:pos="540"/>
        </w:tabs>
        <w:spacing w:beforeLines="25" w:afterLines="25" w:line="312" w:lineRule="auto"/>
        <w:rPr>
          <w:rFonts w:ascii="宋体" w:hAnsi="宋体" w:cs="宋体"/>
          <w:b/>
          <w:kern w:val="0"/>
          <w:sz w:val="24"/>
        </w:rPr>
      </w:pPr>
      <w:r>
        <w:rPr>
          <w:rFonts w:hint="eastAsia" w:ascii="宋体" w:hAnsi="宋体" w:cs="宋体"/>
          <w:b/>
          <w:kern w:val="0"/>
          <w:sz w:val="24"/>
        </w:rPr>
        <w:t xml:space="preserve">谈判文件 </w:t>
      </w:r>
    </w:p>
    <w:p>
      <w:pPr>
        <w:numPr>
          <w:ilvl w:val="0"/>
          <w:numId w:val="7"/>
        </w:numPr>
        <w:spacing w:line="312" w:lineRule="auto"/>
        <w:rPr>
          <w:rFonts w:ascii="宋体"/>
          <w:b/>
          <w:szCs w:val="21"/>
        </w:rPr>
      </w:pPr>
      <w:r>
        <w:rPr>
          <w:rFonts w:hint="eastAsia" w:ascii="宋体"/>
          <w:b/>
          <w:szCs w:val="21"/>
        </w:rPr>
        <w:t>谈判文件包括本文件下列内容及补充通知和竞争性谈判答疑记录：</w:t>
      </w:r>
    </w:p>
    <w:p>
      <w:pPr>
        <w:widowControl/>
        <w:numPr>
          <w:ilvl w:val="0"/>
          <w:numId w:val="9"/>
        </w:numPr>
        <w:tabs>
          <w:tab w:val="left" w:pos="993"/>
          <w:tab w:val="clear" w:pos="794"/>
        </w:tabs>
        <w:spacing w:line="312" w:lineRule="auto"/>
        <w:ind w:left="993" w:hanging="709"/>
        <w:jc w:val="left"/>
        <w:rPr>
          <w:rFonts w:ascii="宋体" w:hAnsi="宋体"/>
          <w:szCs w:val="21"/>
        </w:rPr>
      </w:pPr>
      <w:r>
        <w:rPr>
          <w:rFonts w:hint="eastAsia" w:ascii="宋体" w:hAnsi="宋体"/>
          <w:szCs w:val="21"/>
        </w:rPr>
        <w:t>竞争性谈判邀请；</w:t>
      </w:r>
    </w:p>
    <w:p>
      <w:pPr>
        <w:widowControl/>
        <w:numPr>
          <w:ilvl w:val="0"/>
          <w:numId w:val="9"/>
        </w:numPr>
        <w:tabs>
          <w:tab w:val="left" w:pos="993"/>
          <w:tab w:val="clear" w:pos="794"/>
        </w:tabs>
        <w:spacing w:line="312" w:lineRule="auto"/>
        <w:ind w:left="993" w:hanging="709"/>
        <w:jc w:val="left"/>
        <w:rPr>
          <w:rFonts w:ascii="宋体" w:hAnsi="宋体"/>
          <w:szCs w:val="21"/>
        </w:rPr>
      </w:pPr>
      <w:r>
        <w:rPr>
          <w:rFonts w:hint="eastAsia" w:ascii="宋体" w:hAnsi="宋体"/>
          <w:szCs w:val="21"/>
        </w:rPr>
        <w:t>竞争性谈判须知；</w:t>
      </w:r>
    </w:p>
    <w:p>
      <w:pPr>
        <w:widowControl/>
        <w:numPr>
          <w:ilvl w:val="0"/>
          <w:numId w:val="9"/>
        </w:numPr>
        <w:tabs>
          <w:tab w:val="left" w:pos="993"/>
          <w:tab w:val="clear" w:pos="794"/>
        </w:tabs>
        <w:spacing w:line="312" w:lineRule="auto"/>
        <w:ind w:left="993" w:hanging="709"/>
        <w:jc w:val="left"/>
        <w:rPr>
          <w:rFonts w:hint="eastAsia" w:ascii="宋体" w:hAnsi="宋体"/>
          <w:szCs w:val="21"/>
        </w:rPr>
      </w:pPr>
      <w:r>
        <w:rPr>
          <w:rFonts w:hint="eastAsia" w:ascii="宋体" w:hAnsi="宋体"/>
          <w:szCs w:val="21"/>
        </w:rPr>
        <w:t>项目商务要求</w:t>
      </w:r>
    </w:p>
    <w:p>
      <w:pPr>
        <w:widowControl/>
        <w:numPr>
          <w:ilvl w:val="0"/>
          <w:numId w:val="9"/>
        </w:numPr>
        <w:tabs>
          <w:tab w:val="left" w:pos="993"/>
          <w:tab w:val="clear" w:pos="794"/>
        </w:tabs>
        <w:spacing w:line="312" w:lineRule="auto"/>
        <w:ind w:left="993" w:hanging="709"/>
        <w:jc w:val="left"/>
        <w:rPr>
          <w:rFonts w:ascii="宋体" w:hAnsi="宋体"/>
          <w:szCs w:val="21"/>
        </w:rPr>
      </w:pPr>
      <w:r>
        <w:rPr>
          <w:rFonts w:hint="eastAsia" w:ascii="宋体" w:hAnsi="宋体"/>
          <w:szCs w:val="21"/>
        </w:rPr>
        <w:t>项目采购需求。</w:t>
      </w:r>
    </w:p>
    <w:p>
      <w:pPr>
        <w:numPr>
          <w:ilvl w:val="0"/>
          <w:numId w:val="7"/>
        </w:numPr>
        <w:spacing w:line="312" w:lineRule="auto"/>
        <w:rPr>
          <w:rFonts w:ascii="宋体"/>
          <w:b/>
          <w:szCs w:val="21"/>
        </w:rPr>
      </w:pPr>
      <w:r>
        <w:rPr>
          <w:rFonts w:hint="eastAsia" w:ascii="宋体"/>
          <w:b/>
          <w:szCs w:val="21"/>
        </w:rPr>
        <w:t>谈判文件的澄清或修改</w:t>
      </w:r>
    </w:p>
    <w:p>
      <w:pPr>
        <w:numPr>
          <w:ilvl w:val="1"/>
          <w:numId w:val="7"/>
        </w:numPr>
        <w:tabs>
          <w:tab w:val="left" w:pos="993"/>
        </w:tabs>
        <w:spacing w:line="312" w:lineRule="auto"/>
        <w:rPr>
          <w:rFonts w:ascii="宋体"/>
          <w:szCs w:val="21"/>
        </w:rPr>
      </w:pPr>
      <w:r>
        <w:rPr>
          <w:rFonts w:ascii="宋体"/>
          <w:szCs w:val="21"/>
        </w:rPr>
        <w:t>要求对</w:t>
      </w:r>
      <w:r>
        <w:rPr>
          <w:rFonts w:hint="eastAsia" w:ascii="宋体"/>
          <w:szCs w:val="21"/>
        </w:rPr>
        <w:t>谈判</w:t>
      </w:r>
      <w:r>
        <w:rPr>
          <w:rFonts w:ascii="宋体"/>
          <w:szCs w:val="21"/>
        </w:rPr>
        <w:t>文件进行澄清的响应人，</w:t>
      </w:r>
      <w:r>
        <w:rPr>
          <w:rFonts w:hint="eastAsia" w:ascii="宋体"/>
          <w:szCs w:val="21"/>
        </w:rPr>
        <w:t>需</w:t>
      </w:r>
      <w:r>
        <w:rPr>
          <w:rFonts w:ascii="宋体"/>
          <w:szCs w:val="21"/>
        </w:rPr>
        <w:t>在响应文件</w:t>
      </w:r>
      <w:r>
        <w:rPr>
          <w:rFonts w:hint="eastAsia" w:ascii="宋体"/>
          <w:szCs w:val="21"/>
        </w:rPr>
        <w:t>递交</w:t>
      </w:r>
      <w:r>
        <w:rPr>
          <w:rFonts w:ascii="宋体"/>
          <w:szCs w:val="21"/>
        </w:rPr>
        <w:t>截止</w:t>
      </w:r>
      <w:r>
        <w:rPr>
          <w:rFonts w:hint="eastAsia" w:ascii="宋体"/>
          <w:szCs w:val="21"/>
        </w:rPr>
        <w:t>时间2</w:t>
      </w:r>
      <w:r>
        <w:rPr>
          <w:rFonts w:ascii="宋体"/>
          <w:szCs w:val="21"/>
        </w:rPr>
        <w:t>天前</w:t>
      </w:r>
      <w:r>
        <w:rPr>
          <w:rFonts w:hint="eastAsia" w:ascii="宋体"/>
          <w:szCs w:val="21"/>
        </w:rPr>
        <w:t>以书面形式送达采购人，采购人</w:t>
      </w:r>
      <w:r>
        <w:rPr>
          <w:rFonts w:ascii="宋体"/>
          <w:szCs w:val="21"/>
        </w:rPr>
        <w:t>将</w:t>
      </w:r>
      <w:r>
        <w:rPr>
          <w:rFonts w:hint="eastAsia" w:ascii="宋体"/>
          <w:szCs w:val="21"/>
        </w:rPr>
        <w:t>以不标明来源的</w:t>
      </w:r>
      <w:r>
        <w:rPr>
          <w:rFonts w:ascii="宋体"/>
          <w:szCs w:val="21"/>
        </w:rPr>
        <w:t>书面答复传送给</w:t>
      </w:r>
      <w:r>
        <w:rPr>
          <w:rFonts w:hint="eastAsia" w:ascii="宋体"/>
          <w:szCs w:val="21"/>
        </w:rPr>
        <w:t>已获得谈判</w:t>
      </w:r>
      <w:r>
        <w:rPr>
          <w:rFonts w:ascii="宋体"/>
          <w:szCs w:val="21"/>
        </w:rPr>
        <w:t>文件的每个响应人</w:t>
      </w:r>
      <w:r>
        <w:rPr>
          <w:rFonts w:hint="eastAsia" w:ascii="宋体"/>
          <w:szCs w:val="21"/>
        </w:rPr>
        <w:t>。</w:t>
      </w:r>
    </w:p>
    <w:p>
      <w:pPr>
        <w:numPr>
          <w:ilvl w:val="1"/>
          <w:numId w:val="7"/>
        </w:numPr>
        <w:tabs>
          <w:tab w:val="left" w:pos="993"/>
        </w:tabs>
        <w:spacing w:line="312" w:lineRule="auto"/>
        <w:rPr>
          <w:rFonts w:ascii="宋体"/>
          <w:szCs w:val="21"/>
        </w:rPr>
      </w:pPr>
      <w:r>
        <w:rPr>
          <w:rFonts w:ascii="宋体"/>
          <w:szCs w:val="21"/>
        </w:rPr>
        <w:t>响应文件</w:t>
      </w:r>
      <w:r>
        <w:rPr>
          <w:rFonts w:hint="eastAsia" w:ascii="宋体"/>
          <w:szCs w:val="21"/>
        </w:rPr>
        <w:t>递交</w:t>
      </w:r>
      <w:r>
        <w:rPr>
          <w:rFonts w:ascii="宋体"/>
          <w:szCs w:val="21"/>
        </w:rPr>
        <w:t>截止前的任何时候</w:t>
      </w:r>
      <w:r>
        <w:rPr>
          <w:rFonts w:hint="eastAsia" w:ascii="宋体"/>
          <w:szCs w:val="21"/>
        </w:rPr>
        <w:t>，</w:t>
      </w:r>
      <w:r>
        <w:rPr>
          <w:rFonts w:ascii="宋体"/>
          <w:szCs w:val="21"/>
        </w:rPr>
        <w:t>无论出于何种原因</w:t>
      </w:r>
      <w:r>
        <w:rPr>
          <w:rFonts w:hint="eastAsia" w:ascii="宋体"/>
          <w:szCs w:val="21"/>
        </w:rPr>
        <w:t>，采购人</w:t>
      </w:r>
      <w:r>
        <w:rPr>
          <w:rFonts w:ascii="宋体"/>
          <w:szCs w:val="21"/>
        </w:rPr>
        <w:t>均可主动地或在解答响应人提出的澄清问题时对谈判文件进行</w:t>
      </w:r>
      <w:r>
        <w:rPr>
          <w:rFonts w:hint="eastAsia" w:ascii="宋体"/>
          <w:szCs w:val="21"/>
        </w:rPr>
        <w:t>修改。</w:t>
      </w:r>
    </w:p>
    <w:p>
      <w:pPr>
        <w:numPr>
          <w:ilvl w:val="1"/>
          <w:numId w:val="7"/>
        </w:numPr>
        <w:tabs>
          <w:tab w:val="left" w:pos="993"/>
        </w:tabs>
        <w:spacing w:line="312" w:lineRule="auto"/>
        <w:rPr>
          <w:rFonts w:ascii="宋体"/>
          <w:szCs w:val="21"/>
        </w:rPr>
      </w:pPr>
      <w:r>
        <w:rPr>
          <w:rFonts w:hint="eastAsia" w:ascii="宋体"/>
          <w:szCs w:val="21"/>
        </w:rPr>
        <w:t>谈判文件的澄清或修改是谈判文件的组成部分，将以书面形式通知</w:t>
      </w:r>
      <w:r>
        <w:rPr>
          <w:rFonts w:ascii="宋体"/>
          <w:szCs w:val="21"/>
        </w:rPr>
        <w:t>响应人</w:t>
      </w:r>
      <w:r>
        <w:rPr>
          <w:rFonts w:hint="eastAsia" w:ascii="宋体"/>
          <w:szCs w:val="21"/>
        </w:rPr>
        <w:t>，对其具有约束力；</w:t>
      </w:r>
      <w:r>
        <w:rPr>
          <w:rFonts w:ascii="宋体"/>
          <w:szCs w:val="21"/>
        </w:rPr>
        <w:t>响应人</w:t>
      </w:r>
      <w:r>
        <w:rPr>
          <w:rFonts w:hint="eastAsia" w:ascii="宋体"/>
          <w:szCs w:val="21"/>
        </w:rPr>
        <w:t>在收到任何澄清和修改文件后，应于24小时内回函确认。</w:t>
      </w:r>
    </w:p>
    <w:p>
      <w:pPr>
        <w:numPr>
          <w:ilvl w:val="1"/>
          <w:numId w:val="7"/>
        </w:numPr>
        <w:tabs>
          <w:tab w:val="left" w:pos="993"/>
        </w:tabs>
        <w:spacing w:line="312" w:lineRule="auto"/>
        <w:rPr>
          <w:rFonts w:ascii="宋体"/>
          <w:szCs w:val="21"/>
        </w:rPr>
      </w:pPr>
      <w:r>
        <w:rPr>
          <w:rFonts w:hint="eastAsia" w:ascii="宋体"/>
          <w:szCs w:val="21"/>
        </w:rPr>
        <w:t>考虑到谈判文件修改的影响，采购人有权推迟</w:t>
      </w:r>
      <w:r>
        <w:rPr>
          <w:rFonts w:ascii="宋体"/>
          <w:szCs w:val="21"/>
        </w:rPr>
        <w:t>响应文件</w:t>
      </w:r>
      <w:r>
        <w:rPr>
          <w:rFonts w:hint="eastAsia" w:ascii="宋体"/>
          <w:szCs w:val="21"/>
        </w:rPr>
        <w:t>的递交截止时间</w:t>
      </w:r>
      <w:r>
        <w:rPr>
          <w:rFonts w:ascii="宋体"/>
          <w:szCs w:val="21"/>
        </w:rPr>
        <w:t>，并将此变更书面通知所有</w:t>
      </w:r>
      <w:r>
        <w:rPr>
          <w:rFonts w:hint="eastAsia" w:ascii="宋体"/>
          <w:szCs w:val="21"/>
        </w:rPr>
        <w:t>获得</w:t>
      </w:r>
      <w:r>
        <w:rPr>
          <w:rFonts w:ascii="宋体"/>
          <w:szCs w:val="21"/>
        </w:rPr>
        <w:t>谈判文件的响应人</w:t>
      </w:r>
      <w:r>
        <w:rPr>
          <w:rFonts w:hint="eastAsia" w:ascii="宋体"/>
          <w:szCs w:val="21"/>
        </w:rPr>
        <w:t>。</w:t>
      </w:r>
    </w:p>
    <w:p>
      <w:pPr>
        <w:numPr>
          <w:ilvl w:val="0"/>
          <w:numId w:val="6"/>
        </w:numPr>
        <w:tabs>
          <w:tab w:val="left" w:pos="540"/>
        </w:tabs>
        <w:spacing w:beforeLines="25" w:afterLines="25" w:line="312" w:lineRule="auto"/>
        <w:rPr>
          <w:rFonts w:ascii="宋体" w:hAnsi="宋体" w:cs="宋体"/>
          <w:b/>
          <w:kern w:val="0"/>
          <w:sz w:val="24"/>
        </w:rPr>
      </w:pPr>
      <w:r>
        <w:rPr>
          <w:rFonts w:ascii="宋体" w:hAnsi="宋体" w:cs="宋体"/>
          <w:b/>
          <w:kern w:val="0"/>
          <w:sz w:val="24"/>
        </w:rPr>
        <w:t>响应文件</w:t>
      </w:r>
      <w:r>
        <w:rPr>
          <w:rFonts w:hint="eastAsia" w:ascii="宋体" w:hAnsi="宋体" w:cs="宋体"/>
          <w:b/>
          <w:kern w:val="0"/>
          <w:sz w:val="24"/>
        </w:rPr>
        <w:t>的编制</w:t>
      </w:r>
    </w:p>
    <w:p>
      <w:pPr>
        <w:numPr>
          <w:ilvl w:val="0"/>
          <w:numId w:val="7"/>
        </w:numPr>
        <w:spacing w:line="312" w:lineRule="auto"/>
        <w:rPr>
          <w:rFonts w:ascii="宋体"/>
          <w:b/>
          <w:szCs w:val="21"/>
        </w:rPr>
      </w:pPr>
      <w:r>
        <w:rPr>
          <w:rFonts w:ascii="宋体"/>
          <w:b/>
          <w:szCs w:val="21"/>
        </w:rPr>
        <w:t>谈判</w:t>
      </w:r>
      <w:r>
        <w:rPr>
          <w:rFonts w:hint="eastAsia" w:ascii="宋体"/>
          <w:b/>
          <w:szCs w:val="21"/>
        </w:rPr>
        <w:t>响应文件应包括：资格证明文件部分、商务谈判文件部分。（在递交谈判响应文件时需按以下顺序装订，并在谈判截止前送达谈判文件中指定地点。）</w:t>
      </w:r>
    </w:p>
    <w:p>
      <w:pPr>
        <w:numPr>
          <w:ilvl w:val="1"/>
          <w:numId w:val="7"/>
        </w:numPr>
        <w:tabs>
          <w:tab w:val="left" w:pos="993"/>
        </w:tabs>
        <w:spacing w:line="312" w:lineRule="auto"/>
        <w:rPr>
          <w:rFonts w:ascii="宋体"/>
          <w:szCs w:val="21"/>
        </w:rPr>
      </w:pPr>
      <w:bookmarkStart w:id="3" w:name="_Toc48707737"/>
      <w:bookmarkStart w:id="4" w:name="_Toc49159957"/>
      <w:r>
        <w:rPr>
          <w:rFonts w:hint="eastAsia" w:ascii="宋体"/>
          <w:szCs w:val="21"/>
        </w:rPr>
        <w:t>资格证明文件（</w:t>
      </w:r>
      <w:r>
        <w:rPr>
          <w:rFonts w:hint="eastAsia" w:ascii="宋体" w:hAnsi="宋体"/>
          <w:szCs w:val="21"/>
        </w:rPr>
        <w:t>以下文件复印件均需加章响应人公章，如不能按时提交请提交文字情况说明</w:t>
      </w:r>
      <w:bookmarkEnd w:id="3"/>
      <w:bookmarkEnd w:id="4"/>
      <w:r>
        <w:rPr>
          <w:rFonts w:hint="eastAsia" w:ascii="宋体"/>
          <w:szCs w:val="21"/>
        </w:rPr>
        <w:t>）</w:t>
      </w:r>
    </w:p>
    <w:p>
      <w:pPr>
        <w:pStyle w:val="27"/>
        <w:widowControl/>
        <w:numPr>
          <w:ilvl w:val="0"/>
          <w:numId w:val="10"/>
        </w:numPr>
        <w:tabs>
          <w:tab w:val="left" w:pos="794"/>
          <w:tab w:val="left" w:pos="993"/>
        </w:tabs>
        <w:spacing w:line="312" w:lineRule="auto"/>
        <w:ind w:firstLineChars="0"/>
        <w:jc w:val="left"/>
        <w:rPr>
          <w:rFonts w:hint="eastAsia" w:ascii="宋体" w:hAnsi="宋体"/>
          <w:vanish/>
          <w:szCs w:val="21"/>
        </w:rPr>
      </w:pPr>
    </w:p>
    <w:p>
      <w:pPr>
        <w:pStyle w:val="27"/>
        <w:widowControl/>
        <w:numPr>
          <w:ilvl w:val="0"/>
          <w:numId w:val="10"/>
        </w:numPr>
        <w:tabs>
          <w:tab w:val="left" w:pos="794"/>
          <w:tab w:val="left" w:pos="993"/>
        </w:tabs>
        <w:spacing w:line="312" w:lineRule="auto"/>
        <w:ind w:firstLineChars="0"/>
        <w:jc w:val="left"/>
        <w:rPr>
          <w:rFonts w:hint="eastAsia" w:ascii="宋体" w:hAnsi="宋体"/>
          <w:vanish/>
          <w:szCs w:val="21"/>
        </w:rPr>
      </w:pPr>
    </w:p>
    <w:p>
      <w:pPr>
        <w:pStyle w:val="27"/>
        <w:widowControl/>
        <w:numPr>
          <w:ilvl w:val="0"/>
          <w:numId w:val="10"/>
        </w:numPr>
        <w:tabs>
          <w:tab w:val="left" w:pos="794"/>
          <w:tab w:val="left" w:pos="993"/>
        </w:tabs>
        <w:spacing w:line="312" w:lineRule="auto"/>
        <w:ind w:firstLineChars="0"/>
        <w:jc w:val="left"/>
        <w:rPr>
          <w:rFonts w:hint="eastAsia" w:ascii="宋体" w:hAnsi="宋体"/>
          <w:vanish/>
          <w:szCs w:val="21"/>
        </w:rPr>
      </w:pPr>
    </w:p>
    <w:p>
      <w:pPr>
        <w:pStyle w:val="27"/>
        <w:widowControl/>
        <w:numPr>
          <w:ilvl w:val="0"/>
          <w:numId w:val="10"/>
        </w:numPr>
        <w:tabs>
          <w:tab w:val="left" w:pos="794"/>
          <w:tab w:val="left" w:pos="993"/>
        </w:tabs>
        <w:spacing w:line="312" w:lineRule="auto"/>
        <w:ind w:firstLineChars="0"/>
        <w:jc w:val="left"/>
        <w:rPr>
          <w:rFonts w:hint="eastAsia" w:ascii="宋体" w:hAnsi="宋体"/>
          <w:vanish/>
          <w:szCs w:val="21"/>
        </w:rPr>
      </w:pPr>
    </w:p>
    <w:p>
      <w:pPr>
        <w:pStyle w:val="27"/>
        <w:widowControl/>
        <w:numPr>
          <w:ilvl w:val="0"/>
          <w:numId w:val="10"/>
        </w:numPr>
        <w:tabs>
          <w:tab w:val="left" w:pos="794"/>
          <w:tab w:val="left" w:pos="993"/>
        </w:tabs>
        <w:spacing w:line="312" w:lineRule="auto"/>
        <w:ind w:firstLineChars="0"/>
        <w:jc w:val="left"/>
        <w:rPr>
          <w:rFonts w:hint="eastAsia" w:ascii="宋体" w:hAnsi="宋体"/>
          <w:vanish/>
          <w:szCs w:val="21"/>
        </w:rPr>
      </w:pPr>
    </w:p>
    <w:p>
      <w:pPr>
        <w:pStyle w:val="27"/>
        <w:widowControl/>
        <w:numPr>
          <w:ilvl w:val="0"/>
          <w:numId w:val="10"/>
        </w:numPr>
        <w:tabs>
          <w:tab w:val="left" w:pos="794"/>
          <w:tab w:val="left" w:pos="993"/>
        </w:tabs>
        <w:spacing w:line="312" w:lineRule="auto"/>
        <w:ind w:firstLineChars="0"/>
        <w:jc w:val="left"/>
        <w:rPr>
          <w:rFonts w:hint="eastAsia" w:ascii="宋体" w:hAnsi="宋体"/>
          <w:vanish/>
          <w:szCs w:val="21"/>
        </w:rPr>
      </w:pPr>
    </w:p>
    <w:p>
      <w:pPr>
        <w:pStyle w:val="27"/>
        <w:widowControl/>
        <w:numPr>
          <w:ilvl w:val="0"/>
          <w:numId w:val="10"/>
        </w:numPr>
        <w:tabs>
          <w:tab w:val="left" w:pos="794"/>
          <w:tab w:val="left" w:pos="993"/>
        </w:tabs>
        <w:spacing w:line="312" w:lineRule="auto"/>
        <w:ind w:firstLineChars="0"/>
        <w:jc w:val="left"/>
        <w:rPr>
          <w:rFonts w:hint="eastAsia" w:ascii="宋体" w:hAnsi="宋体"/>
          <w:vanish/>
          <w:szCs w:val="21"/>
        </w:rPr>
      </w:pPr>
    </w:p>
    <w:p>
      <w:pPr>
        <w:pStyle w:val="27"/>
        <w:widowControl/>
        <w:numPr>
          <w:ilvl w:val="0"/>
          <w:numId w:val="10"/>
        </w:numPr>
        <w:tabs>
          <w:tab w:val="left" w:pos="794"/>
          <w:tab w:val="left" w:pos="993"/>
        </w:tabs>
        <w:spacing w:line="312" w:lineRule="auto"/>
        <w:ind w:firstLineChars="0"/>
        <w:jc w:val="left"/>
        <w:rPr>
          <w:rFonts w:hint="eastAsia" w:ascii="宋体" w:hAnsi="宋体"/>
          <w:vanish/>
          <w:szCs w:val="21"/>
        </w:rPr>
      </w:pPr>
    </w:p>
    <w:p>
      <w:pPr>
        <w:pStyle w:val="27"/>
        <w:widowControl/>
        <w:numPr>
          <w:ilvl w:val="1"/>
          <w:numId w:val="10"/>
        </w:numPr>
        <w:tabs>
          <w:tab w:val="left" w:pos="840"/>
          <w:tab w:val="left" w:pos="993"/>
        </w:tabs>
        <w:spacing w:line="312" w:lineRule="auto"/>
        <w:ind w:firstLineChars="0"/>
        <w:jc w:val="left"/>
        <w:rPr>
          <w:rFonts w:hint="eastAsia" w:ascii="宋体" w:hAnsi="宋体"/>
          <w:vanish/>
          <w:szCs w:val="21"/>
        </w:rPr>
      </w:pPr>
    </w:p>
    <w:p>
      <w:pPr>
        <w:widowControl/>
        <w:numPr>
          <w:ilvl w:val="2"/>
          <w:numId w:val="10"/>
        </w:numPr>
        <w:tabs>
          <w:tab w:val="left" w:pos="851"/>
        </w:tabs>
        <w:spacing w:line="312" w:lineRule="auto"/>
        <w:ind w:left="851"/>
        <w:jc w:val="left"/>
        <w:rPr>
          <w:rFonts w:ascii="宋体" w:hAnsi="宋体"/>
          <w:szCs w:val="21"/>
        </w:rPr>
      </w:pPr>
      <w:r>
        <w:rPr>
          <w:rFonts w:hint="eastAsia" w:ascii="宋体" w:hAnsi="宋体"/>
          <w:szCs w:val="21"/>
        </w:rPr>
        <w:t>法定代表人授权书（法定代表人为</w:t>
      </w:r>
      <w:r>
        <w:rPr>
          <w:rFonts w:ascii="宋体" w:hAnsi="宋体"/>
          <w:szCs w:val="21"/>
        </w:rPr>
        <w:t>响应人</w:t>
      </w:r>
      <w:r>
        <w:rPr>
          <w:rFonts w:hint="eastAsia" w:ascii="宋体" w:hAnsi="宋体"/>
          <w:szCs w:val="21"/>
        </w:rPr>
        <w:t>代表并亲自签署</w:t>
      </w:r>
      <w:r>
        <w:rPr>
          <w:rFonts w:ascii="宋体" w:hAnsi="宋体"/>
          <w:szCs w:val="21"/>
        </w:rPr>
        <w:t>响应文件</w:t>
      </w:r>
      <w:r>
        <w:rPr>
          <w:rFonts w:hint="eastAsia" w:ascii="宋体" w:hAnsi="宋体"/>
          <w:szCs w:val="21"/>
        </w:rPr>
        <w:t>的可不提交）；</w:t>
      </w:r>
    </w:p>
    <w:p>
      <w:pPr>
        <w:widowControl/>
        <w:numPr>
          <w:ilvl w:val="2"/>
          <w:numId w:val="10"/>
        </w:numPr>
        <w:tabs>
          <w:tab w:val="left" w:pos="851"/>
        </w:tabs>
        <w:spacing w:line="312" w:lineRule="auto"/>
        <w:ind w:left="851"/>
        <w:jc w:val="left"/>
        <w:rPr>
          <w:rFonts w:ascii="宋体" w:hAnsi="宋体"/>
          <w:szCs w:val="21"/>
        </w:rPr>
      </w:pPr>
      <w:r>
        <w:rPr>
          <w:rFonts w:hint="eastAsia" w:ascii="宋体" w:hAnsi="宋体"/>
          <w:szCs w:val="21"/>
        </w:rPr>
        <w:t>合法并有效的企业法人营业执照（副本复印件）；</w:t>
      </w:r>
    </w:p>
    <w:p>
      <w:pPr>
        <w:widowControl/>
        <w:numPr>
          <w:ilvl w:val="2"/>
          <w:numId w:val="10"/>
        </w:numPr>
        <w:tabs>
          <w:tab w:val="left" w:pos="851"/>
        </w:tabs>
        <w:spacing w:line="312" w:lineRule="auto"/>
        <w:ind w:left="851"/>
        <w:jc w:val="left"/>
        <w:rPr>
          <w:rFonts w:ascii="宋体" w:hAnsi="宋体"/>
          <w:szCs w:val="21"/>
        </w:rPr>
      </w:pPr>
      <w:r>
        <w:rPr>
          <w:rFonts w:hint="eastAsia" w:ascii="宋体" w:hAnsi="宋体"/>
          <w:szCs w:val="21"/>
        </w:rPr>
        <w:t>企业税务登记证（国税和地税）、组织机构代码证复印件；</w:t>
      </w:r>
    </w:p>
    <w:p>
      <w:pPr>
        <w:widowControl/>
        <w:numPr>
          <w:ilvl w:val="2"/>
          <w:numId w:val="10"/>
        </w:numPr>
        <w:tabs>
          <w:tab w:val="left" w:pos="794"/>
          <w:tab w:val="left" w:pos="851"/>
        </w:tabs>
        <w:spacing w:line="312" w:lineRule="auto"/>
        <w:ind w:left="851"/>
        <w:jc w:val="left"/>
        <w:rPr>
          <w:rFonts w:hint="eastAsia" w:ascii="宋体" w:hAnsi="宋体"/>
          <w:szCs w:val="21"/>
        </w:rPr>
      </w:pPr>
      <w:r>
        <w:rPr>
          <w:rFonts w:hint="eastAsia" w:ascii="宋体" w:hAnsi="宋体"/>
          <w:color w:val="000000" w:themeColor="text1"/>
          <w:szCs w:val="21"/>
        </w:rPr>
        <w:t xml:space="preserve"> 具备省级公安厅安全技术防范管理办公室颁发的安全技术防范工程三级或以上设计、施工、维修资质。在外省注册公司需在广东省公安厅备案证明；</w:t>
      </w:r>
    </w:p>
    <w:p>
      <w:pPr>
        <w:widowControl/>
        <w:numPr>
          <w:ilvl w:val="2"/>
          <w:numId w:val="10"/>
        </w:numPr>
        <w:tabs>
          <w:tab w:val="left" w:pos="794"/>
          <w:tab w:val="left" w:pos="851"/>
        </w:tabs>
        <w:spacing w:line="312" w:lineRule="auto"/>
        <w:ind w:left="851"/>
        <w:jc w:val="left"/>
        <w:rPr>
          <w:rFonts w:ascii="宋体" w:hAnsi="宋体"/>
          <w:szCs w:val="21"/>
        </w:rPr>
      </w:pPr>
      <w:r>
        <w:rPr>
          <w:rFonts w:hint="eastAsia" w:ascii="宋体" w:hAnsi="宋体"/>
          <w:color w:val="000000" w:themeColor="text1"/>
          <w:szCs w:val="21"/>
        </w:rPr>
        <w:t xml:space="preserve"> 缴纳谈判保证金的支付凭证复印件；</w:t>
      </w:r>
    </w:p>
    <w:p>
      <w:pPr>
        <w:widowControl/>
        <w:numPr>
          <w:ilvl w:val="2"/>
          <w:numId w:val="10"/>
        </w:numPr>
        <w:tabs>
          <w:tab w:val="left" w:pos="851"/>
        </w:tabs>
        <w:spacing w:line="312" w:lineRule="auto"/>
        <w:ind w:left="851"/>
        <w:jc w:val="left"/>
        <w:rPr>
          <w:rFonts w:ascii="宋体" w:hAnsi="宋体"/>
          <w:szCs w:val="21"/>
        </w:rPr>
      </w:pPr>
      <w:r>
        <w:rPr>
          <w:rFonts w:hint="eastAsia" w:ascii="宋体" w:hAnsi="宋体"/>
          <w:szCs w:val="21"/>
        </w:rPr>
        <w:t>其他资信证明等。</w:t>
      </w:r>
    </w:p>
    <w:p>
      <w:pPr>
        <w:numPr>
          <w:ilvl w:val="1"/>
          <w:numId w:val="7"/>
        </w:numPr>
        <w:tabs>
          <w:tab w:val="left" w:pos="993"/>
        </w:tabs>
        <w:spacing w:before="240" w:line="312" w:lineRule="auto"/>
        <w:rPr>
          <w:rFonts w:ascii="宋体"/>
          <w:szCs w:val="21"/>
        </w:rPr>
      </w:pPr>
      <w:r>
        <w:rPr>
          <w:rFonts w:hint="eastAsia" w:ascii="宋体"/>
          <w:szCs w:val="21"/>
        </w:rPr>
        <w:t>商务谈判文件（价格、商务、技术响应</w:t>
      </w:r>
      <w:r>
        <w:rPr>
          <w:rFonts w:ascii="宋体"/>
          <w:szCs w:val="21"/>
        </w:rPr>
        <w:t>）</w:t>
      </w:r>
    </w:p>
    <w:p>
      <w:pPr>
        <w:pStyle w:val="27"/>
        <w:widowControl/>
        <w:numPr>
          <w:ilvl w:val="0"/>
          <w:numId w:val="11"/>
        </w:numPr>
        <w:tabs>
          <w:tab w:val="left" w:pos="794"/>
          <w:tab w:val="left" w:pos="993"/>
        </w:tabs>
        <w:spacing w:line="312" w:lineRule="auto"/>
        <w:ind w:firstLineChars="0"/>
        <w:jc w:val="left"/>
        <w:rPr>
          <w:rFonts w:hint="eastAsia" w:ascii="宋体" w:hAnsi="宋体"/>
          <w:vanish/>
          <w:szCs w:val="21"/>
        </w:rPr>
      </w:pPr>
    </w:p>
    <w:p>
      <w:pPr>
        <w:pStyle w:val="27"/>
        <w:widowControl/>
        <w:numPr>
          <w:ilvl w:val="0"/>
          <w:numId w:val="11"/>
        </w:numPr>
        <w:tabs>
          <w:tab w:val="left" w:pos="794"/>
          <w:tab w:val="left" w:pos="993"/>
        </w:tabs>
        <w:spacing w:line="312" w:lineRule="auto"/>
        <w:ind w:firstLineChars="0"/>
        <w:jc w:val="left"/>
        <w:rPr>
          <w:rFonts w:hint="eastAsia" w:ascii="宋体" w:hAnsi="宋体"/>
          <w:vanish/>
          <w:szCs w:val="21"/>
        </w:rPr>
      </w:pPr>
    </w:p>
    <w:p>
      <w:pPr>
        <w:pStyle w:val="27"/>
        <w:widowControl/>
        <w:numPr>
          <w:ilvl w:val="0"/>
          <w:numId w:val="11"/>
        </w:numPr>
        <w:tabs>
          <w:tab w:val="left" w:pos="794"/>
          <w:tab w:val="left" w:pos="993"/>
        </w:tabs>
        <w:spacing w:line="312" w:lineRule="auto"/>
        <w:ind w:firstLineChars="0"/>
        <w:jc w:val="left"/>
        <w:rPr>
          <w:rFonts w:hint="eastAsia" w:ascii="宋体" w:hAnsi="宋体"/>
          <w:vanish/>
          <w:szCs w:val="21"/>
        </w:rPr>
      </w:pPr>
    </w:p>
    <w:p>
      <w:pPr>
        <w:pStyle w:val="27"/>
        <w:widowControl/>
        <w:numPr>
          <w:ilvl w:val="0"/>
          <w:numId w:val="11"/>
        </w:numPr>
        <w:tabs>
          <w:tab w:val="left" w:pos="794"/>
          <w:tab w:val="left" w:pos="993"/>
        </w:tabs>
        <w:spacing w:line="312" w:lineRule="auto"/>
        <w:ind w:firstLineChars="0"/>
        <w:jc w:val="left"/>
        <w:rPr>
          <w:rFonts w:hint="eastAsia" w:ascii="宋体" w:hAnsi="宋体"/>
          <w:vanish/>
          <w:szCs w:val="21"/>
        </w:rPr>
      </w:pPr>
    </w:p>
    <w:p>
      <w:pPr>
        <w:pStyle w:val="27"/>
        <w:widowControl/>
        <w:numPr>
          <w:ilvl w:val="0"/>
          <w:numId w:val="11"/>
        </w:numPr>
        <w:tabs>
          <w:tab w:val="left" w:pos="794"/>
          <w:tab w:val="left" w:pos="993"/>
        </w:tabs>
        <w:spacing w:line="312" w:lineRule="auto"/>
        <w:ind w:firstLineChars="0"/>
        <w:jc w:val="left"/>
        <w:rPr>
          <w:rFonts w:hint="eastAsia" w:ascii="宋体" w:hAnsi="宋体"/>
          <w:vanish/>
          <w:szCs w:val="21"/>
        </w:rPr>
      </w:pPr>
    </w:p>
    <w:p>
      <w:pPr>
        <w:pStyle w:val="27"/>
        <w:widowControl/>
        <w:numPr>
          <w:ilvl w:val="0"/>
          <w:numId w:val="11"/>
        </w:numPr>
        <w:tabs>
          <w:tab w:val="left" w:pos="794"/>
          <w:tab w:val="left" w:pos="993"/>
        </w:tabs>
        <w:spacing w:line="312" w:lineRule="auto"/>
        <w:ind w:firstLineChars="0"/>
        <w:jc w:val="left"/>
        <w:rPr>
          <w:rFonts w:hint="eastAsia" w:ascii="宋体" w:hAnsi="宋体"/>
          <w:vanish/>
          <w:szCs w:val="21"/>
        </w:rPr>
      </w:pPr>
    </w:p>
    <w:p>
      <w:pPr>
        <w:pStyle w:val="27"/>
        <w:widowControl/>
        <w:numPr>
          <w:ilvl w:val="0"/>
          <w:numId w:val="11"/>
        </w:numPr>
        <w:tabs>
          <w:tab w:val="left" w:pos="794"/>
          <w:tab w:val="left" w:pos="993"/>
        </w:tabs>
        <w:spacing w:line="312" w:lineRule="auto"/>
        <w:ind w:firstLineChars="0"/>
        <w:jc w:val="left"/>
        <w:rPr>
          <w:rFonts w:hint="eastAsia" w:ascii="宋体" w:hAnsi="宋体"/>
          <w:vanish/>
          <w:szCs w:val="21"/>
        </w:rPr>
      </w:pPr>
    </w:p>
    <w:p>
      <w:pPr>
        <w:pStyle w:val="27"/>
        <w:widowControl/>
        <w:numPr>
          <w:ilvl w:val="0"/>
          <w:numId w:val="11"/>
        </w:numPr>
        <w:tabs>
          <w:tab w:val="left" w:pos="794"/>
          <w:tab w:val="left" w:pos="993"/>
        </w:tabs>
        <w:spacing w:line="312" w:lineRule="auto"/>
        <w:ind w:firstLineChars="0"/>
        <w:jc w:val="left"/>
        <w:rPr>
          <w:rFonts w:hint="eastAsia" w:ascii="宋体" w:hAnsi="宋体"/>
          <w:vanish/>
          <w:szCs w:val="21"/>
        </w:rPr>
      </w:pPr>
    </w:p>
    <w:p>
      <w:pPr>
        <w:pStyle w:val="27"/>
        <w:widowControl/>
        <w:numPr>
          <w:ilvl w:val="1"/>
          <w:numId w:val="11"/>
        </w:numPr>
        <w:tabs>
          <w:tab w:val="left" w:pos="840"/>
          <w:tab w:val="left" w:pos="993"/>
        </w:tabs>
        <w:spacing w:line="312" w:lineRule="auto"/>
        <w:ind w:firstLineChars="0"/>
        <w:jc w:val="left"/>
        <w:rPr>
          <w:rFonts w:hint="eastAsia" w:ascii="宋体" w:hAnsi="宋体"/>
          <w:vanish/>
          <w:szCs w:val="21"/>
        </w:rPr>
      </w:pPr>
    </w:p>
    <w:p>
      <w:pPr>
        <w:pStyle w:val="27"/>
        <w:widowControl/>
        <w:numPr>
          <w:ilvl w:val="1"/>
          <w:numId w:val="11"/>
        </w:numPr>
        <w:tabs>
          <w:tab w:val="left" w:pos="840"/>
          <w:tab w:val="left" w:pos="993"/>
        </w:tabs>
        <w:spacing w:line="312" w:lineRule="auto"/>
        <w:ind w:firstLineChars="0"/>
        <w:jc w:val="left"/>
        <w:rPr>
          <w:rFonts w:hint="eastAsia" w:ascii="宋体" w:hAnsi="宋体"/>
          <w:vanish/>
          <w:szCs w:val="21"/>
        </w:rPr>
      </w:pPr>
    </w:p>
    <w:p>
      <w:pPr>
        <w:widowControl/>
        <w:numPr>
          <w:ilvl w:val="2"/>
          <w:numId w:val="11"/>
        </w:numPr>
        <w:tabs>
          <w:tab w:val="left" w:pos="993"/>
          <w:tab w:val="left" w:pos="1260"/>
        </w:tabs>
        <w:spacing w:line="312" w:lineRule="auto"/>
        <w:ind w:left="851" w:hanging="709"/>
        <w:jc w:val="left"/>
        <w:rPr>
          <w:rFonts w:hint="eastAsia" w:ascii="宋体" w:hAnsi="宋体"/>
          <w:szCs w:val="21"/>
        </w:rPr>
      </w:pPr>
      <w:r>
        <w:rPr>
          <w:rFonts w:hint="eastAsia" w:ascii="宋体" w:hAnsi="宋体"/>
          <w:szCs w:val="21"/>
        </w:rPr>
        <w:t>谈判报价表（报价汇总表及报价明细表，加盖响应人单位公章）；</w:t>
      </w:r>
    </w:p>
    <w:p>
      <w:pPr>
        <w:widowControl/>
        <w:numPr>
          <w:ilvl w:val="2"/>
          <w:numId w:val="11"/>
        </w:numPr>
        <w:tabs>
          <w:tab w:val="left" w:pos="993"/>
          <w:tab w:val="left" w:pos="1260"/>
        </w:tabs>
        <w:spacing w:line="312" w:lineRule="auto"/>
        <w:ind w:left="851" w:hanging="709"/>
        <w:jc w:val="left"/>
        <w:rPr>
          <w:rFonts w:ascii="宋体" w:hAnsi="宋体"/>
          <w:szCs w:val="21"/>
        </w:rPr>
      </w:pPr>
      <w:r>
        <w:rPr>
          <w:rFonts w:hint="eastAsia" w:ascii="宋体" w:hAnsi="宋体"/>
          <w:szCs w:val="21"/>
        </w:rPr>
        <w:t>商务响应偏离表；</w:t>
      </w:r>
    </w:p>
    <w:p>
      <w:pPr>
        <w:widowControl/>
        <w:numPr>
          <w:ilvl w:val="2"/>
          <w:numId w:val="11"/>
        </w:numPr>
        <w:tabs>
          <w:tab w:val="left" w:pos="993"/>
          <w:tab w:val="left" w:pos="1260"/>
        </w:tabs>
        <w:spacing w:line="312" w:lineRule="auto"/>
        <w:ind w:left="851" w:hanging="709"/>
        <w:jc w:val="left"/>
        <w:rPr>
          <w:rFonts w:ascii="宋体" w:hAnsi="宋体"/>
          <w:szCs w:val="21"/>
        </w:rPr>
      </w:pPr>
      <w:r>
        <w:rPr>
          <w:rFonts w:hint="eastAsia" w:ascii="宋体" w:hAnsi="宋体"/>
          <w:szCs w:val="21"/>
        </w:rPr>
        <w:t>技术部分：按谈判文件的商务与技术要求根据所提供货物自行编制，技术文件应能够证明响应人所提供的设备符合谈判文件规定；</w:t>
      </w:r>
    </w:p>
    <w:p>
      <w:pPr>
        <w:pStyle w:val="27"/>
        <w:widowControl/>
        <w:numPr>
          <w:ilvl w:val="1"/>
          <w:numId w:val="11"/>
        </w:numPr>
        <w:tabs>
          <w:tab w:val="left" w:pos="794"/>
          <w:tab w:val="left" w:pos="840"/>
        </w:tabs>
        <w:spacing w:before="240" w:line="312" w:lineRule="auto"/>
        <w:ind w:left="851" w:hanging="709" w:firstLineChars="0"/>
        <w:jc w:val="left"/>
        <w:rPr>
          <w:rFonts w:hint="eastAsia" w:ascii="宋体" w:hAnsi="宋体"/>
          <w:szCs w:val="21"/>
        </w:rPr>
      </w:pPr>
      <w:r>
        <w:rPr>
          <w:rFonts w:hint="eastAsia" w:ascii="宋体" w:hAnsi="宋体"/>
          <w:szCs w:val="21"/>
        </w:rPr>
        <w:t>对本项目的实施计划及售后服务承诺书（提供详细的质保期内服务计划和质保期后的维护方案）。</w:t>
      </w:r>
    </w:p>
    <w:p>
      <w:pPr>
        <w:pStyle w:val="27"/>
        <w:widowControl/>
        <w:numPr>
          <w:ilvl w:val="1"/>
          <w:numId w:val="11"/>
        </w:numPr>
        <w:tabs>
          <w:tab w:val="left" w:pos="794"/>
          <w:tab w:val="left" w:pos="840"/>
        </w:tabs>
        <w:spacing w:before="240" w:line="312" w:lineRule="auto"/>
        <w:ind w:left="851" w:hanging="709" w:firstLineChars="0"/>
        <w:jc w:val="left"/>
        <w:rPr>
          <w:rFonts w:ascii="宋体" w:hAnsi="宋体"/>
          <w:szCs w:val="21"/>
        </w:rPr>
      </w:pPr>
      <w:r>
        <w:rPr>
          <w:rFonts w:hint="eastAsia" w:ascii="宋体" w:hAnsi="宋体"/>
          <w:szCs w:val="21"/>
        </w:rPr>
        <w:t>响应人认为有必要提供的其他资料。</w:t>
      </w:r>
    </w:p>
    <w:p>
      <w:pPr>
        <w:numPr>
          <w:ilvl w:val="0"/>
          <w:numId w:val="7"/>
        </w:numPr>
        <w:spacing w:line="312" w:lineRule="auto"/>
        <w:rPr>
          <w:rFonts w:ascii="宋体"/>
          <w:b/>
          <w:szCs w:val="21"/>
        </w:rPr>
      </w:pPr>
      <w:r>
        <w:rPr>
          <w:rFonts w:hint="eastAsia" w:ascii="宋体"/>
          <w:b/>
          <w:szCs w:val="21"/>
        </w:rPr>
        <w:t>报价</w:t>
      </w:r>
    </w:p>
    <w:p>
      <w:pPr>
        <w:numPr>
          <w:ilvl w:val="1"/>
          <w:numId w:val="7"/>
        </w:numPr>
        <w:tabs>
          <w:tab w:val="left" w:pos="993"/>
        </w:tabs>
        <w:spacing w:line="312" w:lineRule="auto"/>
        <w:rPr>
          <w:rFonts w:ascii="宋体"/>
          <w:szCs w:val="21"/>
        </w:rPr>
      </w:pPr>
      <w:r>
        <w:rPr>
          <w:rFonts w:hint="eastAsia" w:ascii="宋体"/>
          <w:szCs w:val="21"/>
        </w:rPr>
        <w:t>按谈判文件要求及现场考察时采购人所补充的要求进行报价，且报价应是指总包干价格。</w:t>
      </w:r>
    </w:p>
    <w:p>
      <w:pPr>
        <w:numPr>
          <w:ilvl w:val="1"/>
          <w:numId w:val="7"/>
        </w:numPr>
        <w:tabs>
          <w:tab w:val="left" w:pos="993"/>
        </w:tabs>
        <w:spacing w:line="312" w:lineRule="auto"/>
        <w:rPr>
          <w:rFonts w:ascii="宋体"/>
          <w:szCs w:val="21"/>
        </w:rPr>
      </w:pPr>
      <w:r>
        <w:rPr>
          <w:rFonts w:hint="eastAsia" w:ascii="宋体"/>
          <w:szCs w:val="21"/>
        </w:rPr>
        <w:t>应按项目所需货物提供报价明细表（如：货物、数量、单价、合价、配置及货物的来源地、货物的标准等）及报价汇总表。</w:t>
      </w:r>
    </w:p>
    <w:p>
      <w:pPr>
        <w:numPr>
          <w:ilvl w:val="1"/>
          <w:numId w:val="7"/>
        </w:numPr>
        <w:tabs>
          <w:tab w:val="left" w:pos="993"/>
        </w:tabs>
        <w:spacing w:line="312" w:lineRule="auto"/>
        <w:rPr>
          <w:rFonts w:ascii="宋体"/>
          <w:szCs w:val="21"/>
        </w:rPr>
      </w:pPr>
      <w:bookmarkStart w:id="5" w:name="_Toc169402784"/>
      <w:bookmarkEnd w:id="5"/>
      <w:bookmarkStart w:id="6" w:name="_Toc169190028"/>
      <w:bookmarkEnd w:id="6"/>
      <w:bookmarkStart w:id="7" w:name="_Toc169226569"/>
      <w:bookmarkEnd w:id="7"/>
      <w:bookmarkStart w:id="8" w:name="_Toc169225062"/>
      <w:bookmarkEnd w:id="8"/>
      <w:bookmarkStart w:id="9" w:name="_Toc169402632"/>
      <w:bookmarkEnd w:id="9"/>
      <w:r>
        <w:rPr>
          <w:rFonts w:hint="eastAsia" w:ascii="宋体"/>
          <w:szCs w:val="21"/>
        </w:rPr>
        <w:t>未按上述要求报价或</w:t>
      </w:r>
      <w:r>
        <w:rPr>
          <w:rFonts w:ascii="宋体"/>
          <w:szCs w:val="21"/>
        </w:rPr>
        <w:t>响应文件</w:t>
      </w:r>
      <w:r>
        <w:rPr>
          <w:rFonts w:hint="eastAsia" w:ascii="宋体"/>
          <w:szCs w:val="21"/>
        </w:rPr>
        <w:t>中同一产品或方案有两个以上报价的将被视为无效报价。</w:t>
      </w:r>
    </w:p>
    <w:p>
      <w:pPr>
        <w:numPr>
          <w:ilvl w:val="0"/>
          <w:numId w:val="7"/>
        </w:numPr>
        <w:spacing w:line="312" w:lineRule="auto"/>
        <w:rPr>
          <w:rFonts w:ascii="宋体"/>
          <w:b/>
          <w:szCs w:val="21"/>
        </w:rPr>
      </w:pPr>
      <w:r>
        <w:rPr>
          <w:rFonts w:hint="eastAsia" w:ascii="宋体"/>
          <w:b/>
          <w:szCs w:val="21"/>
        </w:rPr>
        <w:t>谈判有效期</w:t>
      </w:r>
    </w:p>
    <w:p>
      <w:pPr>
        <w:tabs>
          <w:tab w:val="left" w:pos="567"/>
          <w:tab w:val="left" w:pos="851"/>
          <w:tab w:val="left" w:pos="993"/>
        </w:tabs>
        <w:spacing w:line="312" w:lineRule="auto"/>
        <w:ind w:left="851" w:hanging="1"/>
        <w:rPr>
          <w:rFonts w:ascii="宋体"/>
          <w:szCs w:val="21"/>
        </w:rPr>
      </w:pPr>
      <w:r>
        <w:rPr>
          <w:rFonts w:ascii="宋体"/>
          <w:szCs w:val="21"/>
        </w:rPr>
        <w:t>谈判有效期为从谈判之日起共</w:t>
      </w:r>
      <w:r>
        <w:rPr>
          <w:rFonts w:hint="eastAsia" w:ascii="宋体"/>
          <w:szCs w:val="21"/>
        </w:rPr>
        <w:t>90</w:t>
      </w:r>
      <w:r>
        <w:rPr>
          <w:rFonts w:ascii="宋体"/>
          <w:szCs w:val="21"/>
        </w:rPr>
        <w:t>个日历日。</w:t>
      </w:r>
      <w:r>
        <w:rPr>
          <w:rFonts w:hint="eastAsia" w:ascii="宋体"/>
          <w:szCs w:val="21"/>
        </w:rPr>
        <w:t>响应人</w:t>
      </w:r>
      <w:r>
        <w:rPr>
          <w:rFonts w:ascii="宋体"/>
          <w:szCs w:val="21"/>
        </w:rPr>
        <w:t>自述的谈判有效期不符合谈判文件要求，将被拒绝谈判。</w:t>
      </w:r>
    </w:p>
    <w:p>
      <w:pPr>
        <w:numPr>
          <w:ilvl w:val="0"/>
          <w:numId w:val="6"/>
        </w:numPr>
        <w:tabs>
          <w:tab w:val="left" w:pos="540"/>
        </w:tabs>
        <w:spacing w:beforeLines="25" w:afterLines="25" w:line="312" w:lineRule="auto"/>
        <w:rPr>
          <w:rFonts w:ascii="宋体" w:hAnsi="宋体" w:cs="宋体"/>
          <w:b/>
          <w:kern w:val="0"/>
          <w:sz w:val="24"/>
        </w:rPr>
      </w:pPr>
      <w:bookmarkStart w:id="10" w:name="_Toc42952417"/>
      <w:r>
        <w:rPr>
          <w:rFonts w:ascii="宋体" w:hAnsi="宋体" w:cs="宋体"/>
          <w:b/>
          <w:kern w:val="0"/>
          <w:sz w:val="24"/>
        </w:rPr>
        <w:t>响应文件</w:t>
      </w:r>
      <w:r>
        <w:rPr>
          <w:rFonts w:hint="eastAsia" w:ascii="宋体" w:hAnsi="宋体" w:cs="宋体"/>
          <w:b/>
          <w:kern w:val="0"/>
          <w:sz w:val="24"/>
        </w:rPr>
        <w:t>的封装和递交</w:t>
      </w:r>
      <w:bookmarkEnd w:id="10"/>
    </w:p>
    <w:p>
      <w:pPr>
        <w:numPr>
          <w:ilvl w:val="0"/>
          <w:numId w:val="7"/>
        </w:numPr>
        <w:spacing w:line="312" w:lineRule="auto"/>
        <w:rPr>
          <w:rFonts w:ascii="宋体"/>
          <w:b/>
          <w:szCs w:val="21"/>
        </w:rPr>
      </w:pPr>
      <w:r>
        <w:rPr>
          <w:rFonts w:ascii="宋体"/>
          <w:b/>
          <w:szCs w:val="21"/>
        </w:rPr>
        <w:t>响应文件</w:t>
      </w:r>
      <w:r>
        <w:rPr>
          <w:rFonts w:hint="eastAsia" w:ascii="宋体"/>
          <w:b/>
          <w:szCs w:val="21"/>
        </w:rPr>
        <w:t>的</w:t>
      </w:r>
      <w:r>
        <w:rPr>
          <w:rFonts w:ascii="宋体"/>
          <w:b/>
          <w:szCs w:val="21"/>
        </w:rPr>
        <w:t>封装</w:t>
      </w:r>
    </w:p>
    <w:p>
      <w:pPr>
        <w:numPr>
          <w:ilvl w:val="1"/>
          <w:numId w:val="7"/>
        </w:numPr>
        <w:tabs>
          <w:tab w:val="left" w:pos="993"/>
        </w:tabs>
        <w:spacing w:line="312" w:lineRule="auto"/>
        <w:rPr>
          <w:rFonts w:ascii="宋体"/>
          <w:szCs w:val="21"/>
        </w:rPr>
      </w:pPr>
      <w:r>
        <w:rPr>
          <w:rFonts w:ascii="宋体"/>
          <w:szCs w:val="21"/>
        </w:rPr>
        <w:t>响应文件分</w:t>
      </w:r>
      <w:r>
        <w:rPr>
          <w:rFonts w:hint="eastAsia" w:ascii="宋体"/>
          <w:szCs w:val="21"/>
        </w:rPr>
        <w:t>壹</w:t>
      </w:r>
      <w:r>
        <w:rPr>
          <w:rFonts w:ascii="宋体"/>
          <w:szCs w:val="21"/>
        </w:rPr>
        <w:t>份正本和</w:t>
      </w:r>
      <w:r>
        <w:rPr>
          <w:rFonts w:hint="eastAsia" w:ascii="宋体"/>
          <w:szCs w:val="21"/>
        </w:rPr>
        <w:t>叁</w:t>
      </w:r>
      <w:r>
        <w:rPr>
          <w:rFonts w:ascii="宋体"/>
          <w:szCs w:val="21"/>
        </w:rPr>
        <w:t>份副本。每份文件要注明“正本”和“副本”字样，谈判响应文件的副本与正本不符，以正本为准。响应文件的正本和所有副本应单独密封</w:t>
      </w:r>
      <w:r>
        <w:rPr>
          <w:rFonts w:hint="eastAsia" w:ascii="宋体"/>
          <w:szCs w:val="21"/>
        </w:rPr>
        <w:t>（加盖响应人公章）。</w:t>
      </w:r>
      <w:r>
        <w:rPr>
          <w:rFonts w:hint="eastAsia" w:ascii="宋体"/>
          <w:b/>
          <w:szCs w:val="21"/>
        </w:rPr>
        <w:t>电子版响应文件（U盘）同时封装。</w:t>
      </w:r>
    </w:p>
    <w:p>
      <w:pPr>
        <w:numPr>
          <w:ilvl w:val="1"/>
          <w:numId w:val="7"/>
        </w:numPr>
        <w:tabs>
          <w:tab w:val="left" w:pos="993"/>
        </w:tabs>
        <w:spacing w:line="312" w:lineRule="auto"/>
        <w:rPr>
          <w:rFonts w:ascii="宋体"/>
          <w:szCs w:val="21"/>
        </w:rPr>
      </w:pPr>
      <w:r>
        <w:rPr>
          <w:rFonts w:ascii="宋体"/>
          <w:szCs w:val="21"/>
        </w:rPr>
        <w:t>响应文件</w:t>
      </w:r>
      <w:r>
        <w:rPr>
          <w:rFonts w:hint="eastAsia" w:ascii="宋体"/>
          <w:szCs w:val="21"/>
        </w:rPr>
        <w:t>正本须打印或用不褪色墨水书写，并在谈判文件明示需</w:t>
      </w:r>
      <w:r>
        <w:rPr>
          <w:rFonts w:ascii="宋体"/>
          <w:szCs w:val="21"/>
        </w:rPr>
        <w:t>响应人</w:t>
      </w:r>
      <w:r>
        <w:rPr>
          <w:rFonts w:hint="eastAsia" w:ascii="宋体"/>
          <w:szCs w:val="21"/>
        </w:rPr>
        <w:t>代表签字处，由</w:t>
      </w:r>
      <w:r>
        <w:rPr>
          <w:rFonts w:ascii="宋体"/>
          <w:szCs w:val="21"/>
        </w:rPr>
        <w:t>响应人</w:t>
      </w:r>
      <w:r>
        <w:rPr>
          <w:rFonts w:hint="eastAsia" w:ascii="宋体"/>
          <w:szCs w:val="21"/>
        </w:rPr>
        <w:t>的法定代表人或经其正式授权的代表签字，在谈判文件明示</w:t>
      </w:r>
      <w:r>
        <w:rPr>
          <w:rFonts w:ascii="宋体"/>
          <w:szCs w:val="21"/>
        </w:rPr>
        <w:t>响应人</w:t>
      </w:r>
      <w:r>
        <w:rPr>
          <w:rFonts w:hint="eastAsia" w:ascii="宋体"/>
          <w:szCs w:val="21"/>
        </w:rPr>
        <w:t>需盖章处，须加盖</w:t>
      </w:r>
      <w:r>
        <w:rPr>
          <w:rFonts w:ascii="宋体"/>
          <w:szCs w:val="21"/>
        </w:rPr>
        <w:t>响应人</w:t>
      </w:r>
      <w:r>
        <w:rPr>
          <w:rFonts w:hint="eastAsia" w:ascii="宋体"/>
          <w:szCs w:val="21"/>
        </w:rPr>
        <w:t>公章。</w:t>
      </w:r>
    </w:p>
    <w:p>
      <w:pPr>
        <w:numPr>
          <w:ilvl w:val="1"/>
          <w:numId w:val="7"/>
        </w:numPr>
        <w:tabs>
          <w:tab w:val="left" w:pos="993"/>
        </w:tabs>
        <w:spacing w:line="312" w:lineRule="auto"/>
        <w:rPr>
          <w:rFonts w:ascii="宋体"/>
          <w:szCs w:val="21"/>
        </w:rPr>
      </w:pPr>
      <w:r>
        <w:rPr>
          <w:rFonts w:ascii="宋体"/>
          <w:szCs w:val="21"/>
        </w:rPr>
        <w:t>响应文件</w:t>
      </w:r>
      <w:r>
        <w:rPr>
          <w:rFonts w:hint="eastAsia" w:ascii="宋体"/>
          <w:szCs w:val="21"/>
        </w:rPr>
        <w:t>应无涂改、行间插字、增删；如有则必须由</w:t>
      </w:r>
      <w:r>
        <w:rPr>
          <w:rFonts w:ascii="宋体"/>
          <w:szCs w:val="21"/>
        </w:rPr>
        <w:t>响应人</w:t>
      </w:r>
      <w:r>
        <w:rPr>
          <w:rFonts w:hint="eastAsia" w:ascii="宋体"/>
          <w:szCs w:val="21"/>
        </w:rPr>
        <w:t>法定代表人或经其正式授权的代表用姓氏或首字母在旁边签字才有效。</w:t>
      </w:r>
    </w:p>
    <w:p>
      <w:pPr>
        <w:numPr>
          <w:ilvl w:val="1"/>
          <w:numId w:val="7"/>
        </w:numPr>
        <w:tabs>
          <w:tab w:val="left" w:pos="993"/>
        </w:tabs>
        <w:spacing w:line="312" w:lineRule="auto"/>
        <w:rPr>
          <w:rFonts w:ascii="宋体"/>
          <w:szCs w:val="21"/>
        </w:rPr>
      </w:pPr>
      <w:r>
        <w:rPr>
          <w:rFonts w:ascii="宋体"/>
          <w:szCs w:val="21"/>
        </w:rPr>
        <w:t>响应文件的密封袋上应写明：</w:t>
      </w:r>
    </w:p>
    <w:p>
      <w:pPr>
        <w:widowControl/>
        <w:numPr>
          <w:ilvl w:val="0"/>
          <w:numId w:val="12"/>
        </w:numPr>
        <w:tabs>
          <w:tab w:val="left" w:pos="993"/>
        </w:tabs>
        <w:spacing w:line="312" w:lineRule="auto"/>
        <w:ind w:left="993" w:hanging="709"/>
        <w:jc w:val="left"/>
        <w:rPr>
          <w:rFonts w:ascii="宋体" w:hAnsi="宋体"/>
          <w:szCs w:val="21"/>
        </w:rPr>
      </w:pPr>
      <w:r>
        <w:rPr>
          <w:rFonts w:ascii="宋体" w:hAnsi="宋体"/>
          <w:szCs w:val="21"/>
        </w:rPr>
        <w:t>竞争性谈判项目名称；</w:t>
      </w:r>
    </w:p>
    <w:p>
      <w:pPr>
        <w:widowControl/>
        <w:numPr>
          <w:ilvl w:val="0"/>
          <w:numId w:val="12"/>
        </w:numPr>
        <w:tabs>
          <w:tab w:val="left" w:pos="993"/>
        </w:tabs>
        <w:spacing w:line="312" w:lineRule="auto"/>
        <w:ind w:left="993" w:hanging="709"/>
        <w:jc w:val="left"/>
        <w:rPr>
          <w:rFonts w:ascii="宋体" w:hAnsi="宋体"/>
          <w:szCs w:val="21"/>
        </w:rPr>
      </w:pPr>
      <w:r>
        <w:rPr>
          <w:rFonts w:ascii="宋体" w:hAnsi="宋体"/>
          <w:szCs w:val="21"/>
        </w:rPr>
        <w:t>谈判</w:t>
      </w:r>
      <w:r>
        <w:rPr>
          <w:rFonts w:hint="eastAsia" w:ascii="宋体" w:hAnsi="宋体"/>
          <w:szCs w:val="21"/>
        </w:rPr>
        <w:t>响应人</w:t>
      </w:r>
      <w:r>
        <w:rPr>
          <w:rFonts w:ascii="宋体" w:hAnsi="宋体"/>
          <w:szCs w:val="21"/>
        </w:rPr>
        <w:t>名称</w:t>
      </w:r>
      <w:r>
        <w:rPr>
          <w:rFonts w:hint="eastAsia" w:ascii="宋体" w:hAnsi="宋体"/>
          <w:szCs w:val="21"/>
        </w:rPr>
        <w:t>（加盖公章）。</w:t>
      </w:r>
    </w:p>
    <w:p>
      <w:pPr>
        <w:numPr>
          <w:ilvl w:val="0"/>
          <w:numId w:val="7"/>
        </w:numPr>
        <w:spacing w:line="312" w:lineRule="auto"/>
        <w:rPr>
          <w:rFonts w:ascii="宋体"/>
          <w:b/>
          <w:szCs w:val="21"/>
        </w:rPr>
      </w:pPr>
      <w:r>
        <w:rPr>
          <w:rFonts w:ascii="宋体"/>
          <w:b/>
          <w:szCs w:val="21"/>
        </w:rPr>
        <w:t>响应文件</w:t>
      </w:r>
      <w:r>
        <w:rPr>
          <w:rFonts w:hint="eastAsia" w:ascii="宋体"/>
          <w:b/>
          <w:szCs w:val="21"/>
        </w:rPr>
        <w:t>的递交与撤回</w:t>
      </w:r>
    </w:p>
    <w:p>
      <w:pPr>
        <w:numPr>
          <w:ilvl w:val="1"/>
          <w:numId w:val="7"/>
        </w:numPr>
        <w:tabs>
          <w:tab w:val="left" w:pos="993"/>
        </w:tabs>
        <w:spacing w:line="312" w:lineRule="auto"/>
        <w:rPr>
          <w:rFonts w:ascii="宋体"/>
          <w:szCs w:val="21"/>
        </w:rPr>
      </w:pPr>
      <w:r>
        <w:rPr>
          <w:rFonts w:hint="eastAsia" w:ascii="宋体"/>
          <w:szCs w:val="21"/>
        </w:rPr>
        <w:t>采购人</w:t>
      </w:r>
      <w:r>
        <w:rPr>
          <w:rFonts w:ascii="宋体"/>
          <w:szCs w:val="21"/>
        </w:rPr>
        <w:t>将拒绝或原封退回在其规定的递交响应文件截止时间之后收到的任何</w:t>
      </w:r>
      <w:r>
        <w:rPr>
          <w:rFonts w:hint="eastAsia" w:ascii="宋体"/>
          <w:szCs w:val="21"/>
        </w:rPr>
        <w:t>响应</w:t>
      </w:r>
      <w:r>
        <w:rPr>
          <w:rFonts w:ascii="宋体"/>
          <w:szCs w:val="21"/>
        </w:rPr>
        <w:t>文件</w:t>
      </w:r>
      <w:r>
        <w:rPr>
          <w:rFonts w:hint="eastAsia" w:ascii="宋体"/>
          <w:szCs w:val="21"/>
        </w:rPr>
        <w:t>；任何传真、电子邮件及邮寄的</w:t>
      </w:r>
      <w:r>
        <w:rPr>
          <w:rFonts w:ascii="宋体"/>
          <w:szCs w:val="21"/>
        </w:rPr>
        <w:t>响应文件</w:t>
      </w:r>
      <w:r>
        <w:rPr>
          <w:rFonts w:hint="eastAsia" w:ascii="宋体"/>
          <w:szCs w:val="21"/>
        </w:rPr>
        <w:t>也将被拒绝或被视作无效的响应文件。</w:t>
      </w:r>
    </w:p>
    <w:p>
      <w:pPr>
        <w:numPr>
          <w:ilvl w:val="1"/>
          <w:numId w:val="7"/>
        </w:numPr>
        <w:tabs>
          <w:tab w:val="left" w:pos="993"/>
        </w:tabs>
        <w:spacing w:line="312" w:lineRule="auto"/>
        <w:rPr>
          <w:rFonts w:ascii="宋体"/>
          <w:szCs w:val="21"/>
        </w:rPr>
      </w:pPr>
      <w:r>
        <w:rPr>
          <w:rFonts w:hint="eastAsia" w:ascii="宋体"/>
          <w:szCs w:val="21"/>
        </w:rPr>
        <w:t>谈判期间应谈判小组要求所作的报价修改和最终报价应在规定的时间内递交。</w:t>
      </w:r>
    </w:p>
    <w:p>
      <w:pPr>
        <w:numPr>
          <w:ilvl w:val="1"/>
          <w:numId w:val="7"/>
        </w:numPr>
        <w:tabs>
          <w:tab w:val="left" w:pos="993"/>
        </w:tabs>
        <w:spacing w:line="312" w:lineRule="auto"/>
        <w:rPr>
          <w:rFonts w:ascii="宋体"/>
          <w:szCs w:val="21"/>
        </w:rPr>
      </w:pPr>
      <w:r>
        <w:rPr>
          <w:rFonts w:ascii="宋体"/>
          <w:szCs w:val="21"/>
        </w:rPr>
        <w:t>响应人</w:t>
      </w:r>
      <w:r>
        <w:rPr>
          <w:rFonts w:hint="eastAsia" w:ascii="宋体"/>
          <w:szCs w:val="21"/>
        </w:rPr>
        <w:t>可在递交截止时间前撤回</w:t>
      </w:r>
      <w:r>
        <w:rPr>
          <w:rFonts w:ascii="宋体"/>
          <w:szCs w:val="21"/>
        </w:rPr>
        <w:t>响应文件</w:t>
      </w:r>
      <w:r>
        <w:rPr>
          <w:rFonts w:hint="eastAsia" w:ascii="宋体"/>
          <w:szCs w:val="21"/>
        </w:rPr>
        <w:t>，但在递交截止时间之后不允许撤回。</w:t>
      </w:r>
    </w:p>
    <w:p>
      <w:pPr>
        <w:numPr>
          <w:ilvl w:val="0"/>
          <w:numId w:val="6"/>
        </w:numPr>
        <w:tabs>
          <w:tab w:val="left" w:pos="540"/>
        </w:tabs>
        <w:spacing w:beforeLines="25" w:afterLines="25" w:line="312" w:lineRule="auto"/>
        <w:rPr>
          <w:rFonts w:ascii="宋体" w:hAnsi="宋体" w:cs="宋体"/>
          <w:b/>
          <w:kern w:val="0"/>
          <w:sz w:val="24"/>
        </w:rPr>
      </w:pPr>
      <w:bookmarkStart w:id="11" w:name="_Toc42952418"/>
      <w:bookmarkStart w:id="12" w:name="_Toc211597312"/>
      <w:bookmarkStart w:id="13" w:name="_Toc14660283"/>
      <w:bookmarkStart w:id="14" w:name="_Toc14672754"/>
      <w:bookmarkStart w:id="15" w:name="_Toc14660931"/>
      <w:r>
        <w:rPr>
          <w:rFonts w:hint="eastAsia" w:ascii="宋体" w:hAnsi="宋体" w:cs="宋体"/>
          <w:b/>
          <w:kern w:val="0"/>
          <w:sz w:val="24"/>
        </w:rPr>
        <w:t>谈判与</w:t>
      </w:r>
      <w:bookmarkEnd w:id="11"/>
      <w:r>
        <w:rPr>
          <w:rFonts w:hint="eastAsia" w:ascii="宋体" w:hAnsi="宋体" w:cs="宋体"/>
          <w:b/>
          <w:kern w:val="0"/>
          <w:sz w:val="24"/>
        </w:rPr>
        <w:t>评审</w:t>
      </w:r>
      <w:bookmarkEnd w:id="12"/>
    </w:p>
    <w:p>
      <w:pPr>
        <w:numPr>
          <w:ilvl w:val="0"/>
          <w:numId w:val="7"/>
        </w:numPr>
        <w:spacing w:line="312" w:lineRule="auto"/>
        <w:rPr>
          <w:rFonts w:ascii="宋体"/>
          <w:szCs w:val="21"/>
        </w:rPr>
      </w:pPr>
      <w:r>
        <w:rPr>
          <w:rFonts w:hint="eastAsia" w:ascii="宋体"/>
          <w:szCs w:val="21"/>
        </w:rPr>
        <w:t>采购人将组织谈判小组首先对响应人的法定代表人授权书、授权代表有效身份证件和企业法人营业执照进行资格性审查确认，然后审查响应文件是否完整，是否有计算错误，文件是否恰当地签署。如果确定响应人无谈判资格或履行合同能力，将取消其谈判资格。</w:t>
      </w:r>
    </w:p>
    <w:p>
      <w:pPr>
        <w:numPr>
          <w:ilvl w:val="0"/>
          <w:numId w:val="7"/>
        </w:numPr>
        <w:spacing w:line="312" w:lineRule="auto"/>
        <w:rPr>
          <w:rFonts w:ascii="宋体"/>
          <w:szCs w:val="21"/>
        </w:rPr>
      </w:pPr>
      <w:r>
        <w:rPr>
          <w:rFonts w:hint="eastAsia" w:ascii="宋体"/>
          <w:szCs w:val="21"/>
        </w:rPr>
        <w:t>对响应文件中含议不明确，同类问题表述不一致或者有明显文字和计算错误的内容，谈判小组可以书面形式要求谈判供应商作出必要的澄清、说明或者纠正。响应人的澄清、说明和纠正应以书面形式，由其授权代表签字，但澄清内容不得超出谈判响应文件的范围或者改变响应文件的实质内容。</w:t>
      </w:r>
    </w:p>
    <w:p>
      <w:pPr>
        <w:numPr>
          <w:ilvl w:val="0"/>
          <w:numId w:val="7"/>
        </w:numPr>
        <w:spacing w:line="312" w:lineRule="auto"/>
        <w:rPr>
          <w:rFonts w:ascii="宋体"/>
          <w:szCs w:val="21"/>
        </w:rPr>
      </w:pPr>
      <w:r>
        <w:rPr>
          <w:rFonts w:hint="eastAsia" w:ascii="宋体"/>
          <w:szCs w:val="21"/>
        </w:rPr>
        <w:t>实质上没有响应谈判文件要求的响应文件将被拒绝。响应人不得通过修正或撤消不合要求的偏离或保留从而使其成为实质上响应的谈判响应文件。</w:t>
      </w:r>
    </w:p>
    <w:p>
      <w:pPr>
        <w:numPr>
          <w:ilvl w:val="0"/>
          <w:numId w:val="7"/>
        </w:numPr>
        <w:spacing w:line="312" w:lineRule="auto"/>
        <w:rPr>
          <w:rFonts w:ascii="宋体"/>
          <w:szCs w:val="21"/>
        </w:rPr>
      </w:pPr>
      <w:r>
        <w:rPr>
          <w:rFonts w:hint="eastAsia" w:ascii="宋体"/>
          <w:szCs w:val="21"/>
        </w:rPr>
        <w:t>采购人决定谈判响应文件的响应性只根据谈判响应文件本身内容，而不寻求外部的证明。谈判过程中，出现但不限于下列情况之一的，经谈判小组认定后按无效响应文件处理：</w:t>
      </w:r>
    </w:p>
    <w:p>
      <w:pPr>
        <w:widowControl/>
        <w:numPr>
          <w:ilvl w:val="0"/>
          <w:numId w:val="13"/>
        </w:numPr>
        <w:tabs>
          <w:tab w:val="left" w:pos="567"/>
          <w:tab w:val="left" w:pos="993"/>
          <w:tab w:val="clear" w:pos="794"/>
        </w:tabs>
        <w:spacing w:line="312" w:lineRule="auto"/>
        <w:ind w:left="993" w:hanging="709"/>
        <w:jc w:val="left"/>
        <w:rPr>
          <w:rFonts w:ascii="宋体" w:hAnsi="宋体"/>
          <w:szCs w:val="21"/>
        </w:rPr>
      </w:pPr>
      <w:r>
        <w:rPr>
          <w:rFonts w:hint="eastAsia" w:ascii="宋体" w:hAnsi="宋体"/>
          <w:szCs w:val="21"/>
        </w:rPr>
        <w:t>谈判响应文件与谈判文件存在重大偏离的；</w:t>
      </w:r>
    </w:p>
    <w:p>
      <w:pPr>
        <w:widowControl/>
        <w:numPr>
          <w:ilvl w:val="0"/>
          <w:numId w:val="13"/>
        </w:numPr>
        <w:tabs>
          <w:tab w:val="left" w:pos="567"/>
          <w:tab w:val="left" w:pos="993"/>
          <w:tab w:val="clear" w:pos="794"/>
        </w:tabs>
        <w:spacing w:line="312" w:lineRule="auto"/>
        <w:ind w:left="993" w:hanging="709"/>
        <w:jc w:val="left"/>
        <w:rPr>
          <w:rFonts w:ascii="宋体" w:hAnsi="宋体"/>
          <w:szCs w:val="21"/>
        </w:rPr>
      </w:pPr>
      <w:r>
        <w:rPr>
          <w:rFonts w:hint="eastAsia" w:ascii="宋体" w:hAnsi="宋体"/>
          <w:szCs w:val="21"/>
        </w:rPr>
        <w:t>《报价表》与正本谈判响应文件内容有重大差异；</w:t>
      </w:r>
    </w:p>
    <w:p>
      <w:pPr>
        <w:widowControl/>
        <w:numPr>
          <w:ilvl w:val="0"/>
          <w:numId w:val="13"/>
        </w:numPr>
        <w:tabs>
          <w:tab w:val="left" w:pos="567"/>
          <w:tab w:val="left" w:pos="993"/>
          <w:tab w:val="clear" w:pos="794"/>
        </w:tabs>
        <w:spacing w:line="312" w:lineRule="auto"/>
        <w:ind w:left="993" w:hanging="709"/>
        <w:jc w:val="left"/>
        <w:rPr>
          <w:rFonts w:ascii="宋体" w:hAnsi="宋体"/>
          <w:szCs w:val="21"/>
        </w:rPr>
      </w:pPr>
      <w:r>
        <w:rPr>
          <w:rFonts w:hint="eastAsia" w:ascii="宋体" w:hAnsi="宋体"/>
          <w:szCs w:val="21"/>
        </w:rPr>
        <w:t>响应文件中附有采购人不能接受的条件；</w:t>
      </w:r>
    </w:p>
    <w:p>
      <w:pPr>
        <w:widowControl/>
        <w:numPr>
          <w:ilvl w:val="0"/>
          <w:numId w:val="13"/>
        </w:numPr>
        <w:tabs>
          <w:tab w:val="left" w:pos="567"/>
          <w:tab w:val="left" w:pos="993"/>
          <w:tab w:val="clear" w:pos="794"/>
        </w:tabs>
        <w:spacing w:line="312" w:lineRule="auto"/>
        <w:ind w:left="993" w:hanging="709"/>
        <w:jc w:val="left"/>
        <w:rPr>
          <w:rFonts w:ascii="宋体" w:hAnsi="宋体"/>
          <w:szCs w:val="21"/>
        </w:rPr>
      </w:pPr>
      <w:r>
        <w:rPr>
          <w:rFonts w:hint="eastAsia" w:ascii="宋体" w:hAnsi="宋体"/>
          <w:szCs w:val="21"/>
        </w:rPr>
        <w:t>谈判响应文件无响应人单位盖章、无法定代表人或其授权代表签字的；</w:t>
      </w:r>
    </w:p>
    <w:p>
      <w:pPr>
        <w:widowControl/>
        <w:numPr>
          <w:ilvl w:val="0"/>
          <w:numId w:val="13"/>
        </w:numPr>
        <w:tabs>
          <w:tab w:val="left" w:pos="567"/>
          <w:tab w:val="left" w:pos="993"/>
          <w:tab w:val="clear" w:pos="794"/>
        </w:tabs>
        <w:spacing w:line="312" w:lineRule="auto"/>
        <w:ind w:left="993" w:hanging="709"/>
        <w:jc w:val="left"/>
        <w:rPr>
          <w:rFonts w:ascii="宋体" w:hAnsi="宋体"/>
          <w:szCs w:val="21"/>
        </w:rPr>
      </w:pPr>
      <w:r>
        <w:rPr>
          <w:rFonts w:hint="eastAsia" w:ascii="宋体" w:hAnsi="宋体"/>
          <w:szCs w:val="21"/>
        </w:rPr>
        <w:t>出现影响采购公正的违法违规行为的；</w:t>
      </w:r>
    </w:p>
    <w:p>
      <w:pPr>
        <w:widowControl/>
        <w:numPr>
          <w:ilvl w:val="0"/>
          <w:numId w:val="13"/>
        </w:numPr>
        <w:tabs>
          <w:tab w:val="left" w:pos="567"/>
          <w:tab w:val="left" w:pos="993"/>
          <w:tab w:val="clear" w:pos="794"/>
        </w:tabs>
        <w:spacing w:line="312" w:lineRule="auto"/>
        <w:ind w:left="993" w:hanging="709"/>
        <w:jc w:val="left"/>
        <w:rPr>
          <w:rFonts w:ascii="宋体" w:hAnsi="宋体"/>
          <w:szCs w:val="21"/>
        </w:rPr>
      </w:pPr>
      <w:r>
        <w:rPr>
          <w:rFonts w:hint="eastAsia" w:ascii="宋体" w:hAnsi="宋体"/>
          <w:szCs w:val="21"/>
        </w:rPr>
        <w:t>经谈判小组认定不符合法律、法规规定的其他实质性要求的。</w:t>
      </w:r>
    </w:p>
    <w:p>
      <w:pPr>
        <w:numPr>
          <w:ilvl w:val="0"/>
          <w:numId w:val="7"/>
        </w:numPr>
        <w:spacing w:line="312" w:lineRule="auto"/>
        <w:rPr>
          <w:rFonts w:ascii="宋体"/>
          <w:szCs w:val="21"/>
        </w:rPr>
      </w:pPr>
      <w:r>
        <w:rPr>
          <w:rFonts w:hint="eastAsia" w:ascii="宋体"/>
          <w:szCs w:val="21"/>
        </w:rPr>
        <w:t>谈判小组根</w:t>
      </w:r>
      <w:r>
        <w:rPr>
          <w:rFonts w:ascii="宋体"/>
          <w:szCs w:val="21"/>
        </w:rPr>
        <w:t>据符合采购需求、质量和服务相等且报价最低的原则</w:t>
      </w:r>
      <w:r>
        <w:rPr>
          <w:rFonts w:hint="eastAsia" w:ascii="宋体"/>
          <w:szCs w:val="21"/>
        </w:rPr>
        <w:t>，依据参加谈判的响应人的情况，从报价、资格、业绩、对商务和技术要求的响应程度、产品的性能、可靠性以及响应人的供货能力、售后服务等方面进行综合分析考评，推荐第一、第二候选成交供应商。</w:t>
      </w:r>
    </w:p>
    <w:p>
      <w:pPr>
        <w:numPr>
          <w:ilvl w:val="0"/>
          <w:numId w:val="7"/>
        </w:numPr>
        <w:spacing w:line="312" w:lineRule="auto"/>
        <w:rPr>
          <w:rFonts w:ascii="宋体"/>
          <w:szCs w:val="21"/>
        </w:rPr>
      </w:pPr>
      <w:r>
        <w:rPr>
          <w:rFonts w:hint="eastAsia" w:ascii="宋体"/>
          <w:szCs w:val="21"/>
        </w:rPr>
        <w:t>确定成交供应商后，由采购人发出《成交通知书》，《成交通知书》是合同的组成部分。</w:t>
      </w:r>
    </w:p>
    <w:p>
      <w:pPr>
        <w:numPr>
          <w:ilvl w:val="0"/>
          <w:numId w:val="7"/>
        </w:numPr>
        <w:spacing w:line="312" w:lineRule="auto"/>
        <w:rPr>
          <w:rFonts w:ascii="宋体"/>
          <w:szCs w:val="21"/>
        </w:rPr>
      </w:pPr>
      <w:r>
        <w:rPr>
          <w:rFonts w:hint="eastAsia" w:ascii="宋体"/>
          <w:szCs w:val="21"/>
        </w:rPr>
        <w:t>采购人没有义务向未成交的</w:t>
      </w:r>
      <w:r>
        <w:rPr>
          <w:rFonts w:ascii="宋体"/>
          <w:szCs w:val="21"/>
        </w:rPr>
        <w:t>响应人</w:t>
      </w:r>
      <w:r>
        <w:rPr>
          <w:rFonts w:hint="eastAsia" w:ascii="宋体"/>
          <w:szCs w:val="21"/>
        </w:rPr>
        <w:t>解释不成交的理由。</w:t>
      </w:r>
    </w:p>
    <w:p>
      <w:pPr>
        <w:numPr>
          <w:ilvl w:val="0"/>
          <w:numId w:val="6"/>
        </w:numPr>
        <w:tabs>
          <w:tab w:val="left" w:pos="540"/>
        </w:tabs>
        <w:spacing w:beforeLines="25" w:afterLines="25" w:line="312" w:lineRule="auto"/>
        <w:rPr>
          <w:rFonts w:ascii="宋体" w:hAnsi="宋体" w:cs="宋体"/>
          <w:b/>
          <w:kern w:val="0"/>
          <w:sz w:val="24"/>
        </w:rPr>
      </w:pPr>
      <w:bookmarkStart w:id="16" w:name="_Toc171398724"/>
      <w:bookmarkEnd w:id="16"/>
      <w:bookmarkStart w:id="17" w:name="_Toc171398723"/>
      <w:bookmarkEnd w:id="17"/>
      <w:bookmarkStart w:id="18" w:name="_Toc171398725"/>
      <w:bookmarkEnd w:id="18"/>
      <w:bookmarkStart w:id="19" w:name="_Hlt491764318"/>
      <w:bookmarkEnd w:id="19"/>
      <w:bookmarkStart w:id="20" w:name="_Toc171398726"/>
      <w:bookmarkEnd w:id="20"/>
      <w:bookmarkStart w:id="21" w:name="_Toc171398722"/>
      <w:bookmarkEnd w:id="21"/>
      <w:bookmarkStart w:id="22" w:name="_Toc490645938"/>
      <w:bookmarkStart w:id="23" w:name="_Toc211597316"/>
      <w:bookmarkStart w:id="24" w:name="_Toc42952419"/>
      <w:r>
        <w:rPr>
          <w:rFonts w:hint="eastAsia" w:ascii="宋体" w:hAnsi="宋体" w:cs="宋体"/>
          <w:b/>
          <w:kern w:val="0"/>
          <w:sz w:val="24"/>
        </w:rPr>
        <w:t>授予合同</w:t>
      </w:r>
      <w:bookmarkEnd w:id="22"/>
      <w:bookmarkEnd w:id="23"/>
      <w:bookmarkEnd w:id="24"/>
    </w:p>
    <w:p>
      <w:pPr>
        <w:numPr>
          <w:ilvl w:val="0"/>
          <w:numId w:val="7"/>
        </w:numPr>
        <w:spacing w:line="312" w:lineRule="auto"/>
        <w:rPr>
          <w:rFonts w:ascii="宋体"/>
          <w:szCs w:val="21"/>
        </w:rPr>
      </w:pPr>
      <w:r>
        <w:rPr>
          <w:rFonts w:hint="eastAsia" w:ascii="宋体"/>
          <w:szCs w:val="21"/>
        </w:rPr>
        <w:t>成交供应商应按成交通知书规定的时间、地点与采购人签订合同。</w:t>
      </w:r>
    </w:p>
    <w:p>
      <w:pPr>
        <w:numPr>
          <w:ilvl w:val="0"/>
          <w:numId w:val="7"/>
        </w:numPr>
        <w:spacing w:line="312" w:lineRule="auto"/>
        <w:rPr>
          <w:rFonts w:ascii="宋体"/>
          <w:szCs w:val="21"/>
        </w:rPr>
      </w:pPr>
      <w:r>
        <w:rPr>
          <w:rFonts w:hint="eastAsia" w:ascii="宋体"/>
          <w:szCs w:val="21"/>
        </w:rPr>
        <w:t>谈判文件、成交供应商的谈判响应文件、谈判修改文件、谈判过程中有关澄清文件及经双方签字的纪要和成交通知书均作为合同附件。</w:t>
      </w:r>
      <w:bookmarkEnd w:id="13"/>
      <w:bookmarkEnd w:id="14"/>
      <w:bookmarkEnd w:id="15"/>
    </w:p>
    <w:p>
      <w:pPr>
        <w:numPr>
          <w:ilvl w:val="0"/>
          <w:numId w:val="7"/>
        </w:numPr>
        <w:spacing w:line="312" w:lineRule="auto"/>
        <w:rPr>
          <w:rFonts w:ascii="宋体"/>
          <w:szCs w:val="21"/>
        </w:rPr>
      </w:pPr>
      <w:r>
        <w:rPr>
          <w:rFonts w:hint="eastAsia" w:ascii="宋体"/>
          <w:szCs w:val="21"/>
        </w:rPr>
        <w:t>成交供应商接到成交通知书后，在规定时间内借故否认已经承诺的条件而拒签合同者，以违约处理；给采购人造成损失的，由成交供应商负责；由此而需要重新组织谈判的，所需费用由成交供应商承担。</w:t>
      </w:r>
    </w:p>
    <w:p>
      <w:pPr>
        <w:spacing w:line="312" w:lineRule="auto"/>
        <w:ind w:left="567"/>
        <w:rPr>
          <w:rFonts w:ascii="宋体"/>
          <w:szCs w:val="21"/>
        </w:rPr>
      </w:pPr>
    </w:p>
    <w:p>
      <w:pPr>
        <w:spacing w:line="312" w:lineRule="auto"/>
        <w:ind w:left="567"/>
        <w:rPr>
          <w:rFonts w:ascii="宋体"/>
          <w:szCs w:val="21"/>
        </w:rPr>
      </w:pPr>
    </w:p>
    <w:p>
      <w:pPr>
        <w:spacing w:line="312" w:lineRule="auto"/>
        <w:ind w:left="567"/>
        <w:rPr>
          <w:rFonts w:ascii="宋体"/>
          <w:szCs w:val="21"/>
        </w:rPr>
      </w:pPr>
    </w:p>
    <w:p>
      <w:pPr>
        <w:spacing w:line="312" w:lineRule="auto"/>
        <w:ind w:left="567"/>
        <w:rPr>
          <w:rFonts w:ascii="宋体"/>
          <w:szCs w:val="21"/>
        </w:rPr>
      </w:pPr>
    </w:p>
    <w:p>
      <w:pPr>
        <w:widowControl/>
        <w:jc w:val="left"/>
        <w:rPr>
          <w:rFonts w:ascii="宋体"/>
          <w:szCs w:val="21"/>
        </w:rPr>
      </w:pPr>
      <w:r>
        <w:rPr>
          <w:rFonts w:ascii="宋体"/>
          <w:szCs w:val="21"/>
        </w:rPr>
        <w:br w:type="page"/>
      </w:r>
    </w:p>
    <w:p>
      <w:pPr>
        <w:pStyle w:val="2"/>
      </w:pPr>
      <w:bookmarkStart w:id="25" w:name="_Toc497405390"/>
      <w:r>
        <w:rPr>
          <w:rFonts w:hint="eastAsia"/>
        </w:rPr>
        <w:t>第三部分  商务要求</w:t>
      </w:r>
      <w:bookmarkEnd w:id="25"/>
    </w:p>
    <w:p/>
    <w:p>
      <w:pPr>
        <w:numPr>
          <w:ilvl w:val="0"/>
          <w:numId w:val="14"/>
        </w:numPr>
        <w:tabs>
          <w:tab w:val="left" w:pos="540"/>
        </w:tabs>
        <w:spacing w:beforeLines="25" w:afterLines="25" w:line="312" w:lineRule="auto"/>
        <w:rPr>
          <w:rFonts w:ascii="宋体" w:hAnsi="宋体" w:cs="宋体"/>
          <w:b/>
          <w:kern w:val="0"/>
          <w:sz w:val="24"/>
        </w:rPr>
      </w:pPr>
      <w:r>
        <w:rPr>
          <w:rFonts w:hint="eastAsia" w:ascii="宋体" w:hAnsi="宋体" w:cs="宋体"/>
          <w:b/>
          <w:kern w:val="0"/>
          <w:sz w:val="24"/>
        </w:rPr>
        <w:t>项目范围</w:t>
      </w:r>
    </w:p>
    <w:p>
      <w:pPr>
        <w:spacing w:line="312" w:lineRule="auto"/>
        <w:ind w:left="567"/>
        <w:rPr>
          <w:rFonts w:asciiTheme="minorEastAsia" w:hAnsiTheme="minorEastAsia" w:eastAsiaTheme="minorEastAsia"/>
          <w:szCs w:val="21"/>
        </w:rPr>
      </w:pPr>
      <w:r>
        <w:rPr>
          <w:rFonts w:hint="eastAsia" w:cs="仿宋" w:asciiTheme="minorEastAsia" w:hAnsiTheme="minorEastAsia" w:eastAsiaTheme="minorEastAsia"/>
          <w:szCs w:val="21"/>
        </w:rPr>
        <w:t>本次维保项目范围是全校监控系统</w:t>
      </w:r>
      <w:r>
        <w:rPr>
          <w:rFonts w:hint="eastAsia" w:asciiTheme="minorEastAsia" w:hAnsiTheme="minorEastAsia" w:eastAsiaTheme="minorEastAsia"/>
          <w:szCs w:val="21"/>
        </w:rPr>
        <w:t>。</w:t>
      </w:r>
    </w:p>
    <w:p>
      <w:pPr>
        <w:numPr>
          <w:ilvl w:val="0"/>
          <w:numId w:val="14"/>
        </w:numPr>
        <w:tabs>
          <w:tab w:val="left" w:pos="540"/>
        </w:tabs>
        <w:spacing w:beforeLines="25" w:afterLines="25" w:line="312" w:lineRule="auto"/>
        <w:rPr>
          <w:rFonts w:ascii="宋体" w:hAnsi="宋体" w:cs="宋体"/>
          <w:b/>
          <w:kern w:val="0"/>
          <w:sz w:val="24"/>
        </w:rPr>
      </w:pPr>
      <w:r>
        <w:rPr>
          <w:rFonts w:hint="eastAsia" w:ascii="宋体" w:hAnsi="宋体" w:cs="宋体"/>
          <w:b/>
          <w:kern w:val="0"/>
          <w:sz w:val="24"/>
        </w:rPr>
        <w:t>报价要求</w:t>
      </w:r>
    </w:p>
    <w:p>
      <w:pPr>
        <w:spacing w:line="312" w:lineRule="auto"/>
        <w:ind w:left="567"/>
        <w:rPr>
          <w:rFonts w:ascii="宋体"/>
          <w:szCs w:val="21"/>
        </w:rPr>
      </w:pPr>
      <w:r>
        <w:rPr>
          <w:rFonts w:hint="eastAsia" w:ascii="宋体"/>
          <w:szCs w:val="21"/>
        </w:rPr>
        <w:t>各供应商可以考察服务现场，根据现场情况，</w:t>
      </w:r>
      <w:r>
        <w:rPr>
          <w:rFonts w:hint="eastAsia" w:ascii="宋体"/>
          <w:color w:val="000000" w:themeColor="text1"/>
          <w:szCs w:val="21"/>
        </w:rPr>
        <w:t>按照技术要求进行报价，所报价格应包括前端摄像机、传输部分、后端控制部分、报警系统等所有设备的维护维修保养、备品备件替</w:t>
      </w:r>
      <w:r>
        <w:rPr>
          <w:rFonts w:hint="eastAsia" w:ascii="宋体"/>
          <w:szCs w:val="21"/>
        </w:rPr>
        <w:t>换使用以及需要更换的设备费用、人工费、提供服务所需设备费及其耗材费用、其他附带服务的费用、保险、利润、税金等在服务期间所产生的一切费用。</w:t>
      </w:r>
    </w:p>
    <w:p>
      <w:pPr>
        <w:numPr>
          <w:ilvl w:val="0"/>
          <w:numId w:val="14"/>
        </w:numPr>
        <w:tabs>
          <w:tab w:val="left" w:pos="540"/>
        </w:tabs>
        <w:spacing w:beforeLines="25" w:afterLines="25" w:line="312" w:lineRule="auto"/>
        <w:rPr>
          <w:rFonts w:ascii="宋体" w:hAnsi="宋体" w:cs="宋体"/>
          <w:b/>
          <w:kern w:val="0"/>
          <w:sz w:val="24"/>
        </w:rPr>
      </w:pPr>
      <w:r>
        <w:rPr>
          <w:rFonts w:hint="eastAsia" w:ascii="宋体" w:hAnsi="宋体" w:cs="宋体"/>
          <w:b/>
          <w:kern w:val="0"/>
          <w:sz w:val="24"/>
        </w:rPr>
        <w:t>质量保证及售后服务基本要求：</w:t>
      </w:r>
    </w:p>
    <w:p>
      <w:pPr>
        <w:numPr>
          <w:ilvl w:val="0"/>
          <w:numId w:val="15"/>
        </w:numPr>
        <w:spacing w:line="312" w:lineRule="auto"/>
        <w:rPr>
          <w:rFonts w:ascii="宋体"/>
          <w:szCs w:val="21"/>
        </w:rPr>
      </w:pPr>
      <w:r>
        <w:rPr>
          <w:rFonts w:ascii="宋体"/>
          <w:szCs w:val="21"/>
        </w:rPr>
        <w:t>响应人</w:t>
      </w:r>
      <w:r>
        <w:rPr>
          <w:rFonts w:hint="eastAsia" w:ascii="宋体"/>
          <w:szCs w:val="21"/>
        </w:rPr>
        <w:t>需阐述售后保障的政策和计划。</w:t>
      </w:r>
    </w:p>
    <w:p>
      <w:pPr>
        <w:numPr>
          <w:ilvl w:val="0"/>
          <w:numId w:val="15"/>
        </w:numPr>
        <w:spacing w:line="312" w:lineRule="auto"/>
        <w:rPr>
          <w:rFonts w:ascii="宋体"/>
          <w:szCs w:val="21"/>
        </w:rPr>
      </w:pPr>
      <w:r>
        <w:rPr>
          <w:rFonts w:ascii="宋体"/>
          <w:szCs w:val="21"/>
        </w:rPr>
        <w:t>响应人</w:t>
      </w:r>
      <w:r>
        <w:rPr>
          <w:rFonts w:hint="eastAsia" w:ascii="宋体"/>
          <w:szCs w:val="21"/>
        </w:rPr>
        <w:t>必须有可靠的售后服务保障，包括但不限于在广州地区有固定的维修服务点，能提供正常的技术、备品备件服务。</w:t>
      </w:r>
      <w:r>
        <w:rPr>
          <w:rFonts w:ascii="宋体"/>
          <w:szCs w:val="21"/>
        </w:rPr>
        <w:t>响应人</w:t>
      </w:r>
      <w:r>
        <w:rPr>
          <w:rFonts w:hint="eastAsia" w:ascii="宋体"/>
          <w:szCs w:val="21"/>
        </w:rPr>
        <w:t>需确保在谈判过程能应采购人的要求提供相关服务网点或驻点的详细资料说明。</w:t>
      </w:r>
    </w:p>
    <w:p>
      <w:pPr>
        <w:numPr>
          <w:ilvl w:val="0"/>
          <w:numId w:val="14"/>
        </w:numPr>
        <w:tabs>
          <w:tab w:val="left" w:pos="540"/>
        </w:tabs>
        <w:spacing w:beforeLines="25" w:afterLines="25" w:line="312" w:lineRule="auto"/>
        <w:rPr>
          <w:rFonts w:ascii="宋体" w:hAnsi="宋体" w:cs="宋体"/>
          <w:b/>
          <w:kern w:val="0"/>
          <w:sz w:val="24"/>
        </w:rPr>
      </w:pPr>
      <w:r>
        <w:rPr>
          <w:rFonts w:hint="eastAsia" w:ascii="宋体" w:hAnsi="宋体" w:cs="宋体"/>
          <w:b/>
          <w:kern w:val="0"/>
          <w:sz w:val="24"/>
        </w:rPr>
        <w:t>合同部分内容要求</w:t>
      </w:r>
    </w:p>
    <w:p>
      <w:pPr>
        <w:numPr>
          <w:ilvl w:val="0"/>
          <w:numId w:val="16"/>
        </w:numPr>
        <w:spacing w:line="312" w:lineRule="auto"/>
        <w:rPr>
          <w:rFonts w:ascii="宋体"/>
          <w:szCs w:val="21"/>
        </w:rPr>
      </w:pPr>
      <w:r>
        <w:rPr>
          <w:rFonts w:hint="eastAsia" w:ascii="宋体"/>
          <w:szCs w:val="21"/>
        </w:rPr>
        <w:t>对采购人根据工程需要确需进行设计变更的项目，成交供应商应配合设计及施工并按实际完成工程量结算，合同中已有适用与变更工程的价格，按合同中已有价格变更合同价款；合同中只有类似于变更工程的价格，可以参照类似价格变更合同价格；合同中没有适用或类似于与变更工程的价格，执行谈判文件规定的有关定额及相关文件，工程材料人工价格按广州市当期工程材料指导价，无指导价则由采购人与成交供应商双方协商确定。</w:t>
      </w:r>
    </w:p>
    <w:p>
      <w:pPr>
        <w:numPr>
          <w:ilvl w:val="0"/>
          <w:numId w:val="16"/>
        </w:numPr>
        <w:spacing w:line="312" w:lineRule="auto"/>
        <w:rPr>
          <w:rFonts w:ascii="宋体"/>
          <w:szCs w:val="21"/>
        </w:rPr>
      </w:pPr>
      <w:r>
        <w:rPr>
          <w:rFonts w:ascii="宋体"/>
          <w:szCs w:val="21"/>
        </w:rPr>
        <w:t>支付</w:t>
      </w:r>
    </w:p>
    <w:p>
      <w:pPr>
        <w:tabs>
          <w:tab w:val="left" w:pos="567"/>
          <w:tab w:val="left" w:pos="794"/>
          <w:tab w:val="left" w:pos="993"/>
        </w:tabs>
        <w:spacing w:line="312" w:lineRule="auto"/>
        <w:ind w:left="567"/>
        <w:rPr>
          <w:rStyle w:val="24"/>
          <w:rFonts w:ascii="宋体" w:hAnsi="宋体"/>
          <w:color w:val="000000" w:themeColor="text1"/>
          <w:szCs w:val="21"/>
        </w:rPr>
      </w:pPr>
      <w:r>
        <w:rPr>
          <w:rFonts w:hint="eastAsia" w:ascii="宋体"/>
          <w:color w:val="000000" w:themeColor="text1"/>
          <w:szCs w:val="21"/>
        </w:rPr>
        <w:t>原则上采购人在签订合同后7个工作日内支付</w:t>
      </w:r>
      <w:r>
        <w:rPr>
          <w:rFonts w:hint="eastAsia" w:ascii="宋体"/>
          <w:color w:val="000000" w:themeColor="text1"/>
          <w:szCs w:val="21"/>
          <w:lang w:eastAsia="zh-CN"/>
        </w:rPr>
        <w:t>第一年维保费用总额</w:t>
      </w:r>
      <w:r>
        <w:rPr>
          <w:rFonts w:hint="eastAsia" w:ascii="宋体"/>
          <w:color w:val="000000" w:themeColor="text1"/>
          <w:szCs w:val="21"/>
        </w:rPr>
        <w:t>的</w:t>
      </w:r>
      <w:r>
        <w:rPr>
          <w:rFonts w:hint="eastAsia" w:ascii="宋体"/>
          <w:color w:val="000000" w:themeColor="text1"/>
          <w:szCs w:val="21"/>
          <w:lang w:val="en-US" w:eastAsia="zh-CN"/>
        </w:rPr>
        <w:t>30</w:t>
      </w:r>
      <w:r>
        <w:rPr>
          <w:rFonts w:hint="eastAsia" w:ascii="宋体"/>
          <w:color w:val="000000" w:themeColor="text1"/>
          <w:szCs w:val="21"/>
        </w:rPr>
        <w:t>%，</w:t>
      </w:r>
      <w:bookmarkEnd w:id="0"/>
      <w:r>
        <w:rPr>
          <w:rFonts w:hint="eastAsia" w:ascii="宋体"/>
          <w:color w:val="000000" w:themeColor="text1"/>
          <w:szCs w:val="21"/>
        </w:rPr>
        <w:t>2020年8月15日前支付</w:t>
      </w:r>
      <w:r>
        <w:rPr>
          <w:rFonts w:hint="eastAsia" w:ascii="宋体"/>
          <w:color w:val="000000" w:themeColor="text1"/>
          <w:szCs w:val="21"/>
          <w:lang w:eastAsia="zh-CN"/>
        </w:rPr>
        <w:t>第一年</w:t>
      </w:r>
      <w:r>
        <w:rPr>
          <w:rStyle w:val="24"/>
          <w:rFonts w:hint="eastAsia" w:ascii="宋体" w:hAnsi="宋体"/>
          <w:color w:val="000000" w:themeColor="text1"/>
          <w:szCs w:val="21"/>
          <w:lang w:eastAsia="zh-CN"/>
        </w:rPr>
        <w:t>维保费用总额的</w:t>
      </w:r>
      <w:r>
        <w:rPr>
          <w:rStyle w:val="24"/>
          <w:rFonts w:hint="eastAsia" w:ascii="宋体" w:hAnsi="宋体"/>
          <w:color w:val="000000" w:themeColor="text1"/>
          <w:szCs w:val="21"/>
          <w:lang w:val="en-US" w:eastAsia="zh-CN"/>
        </w:rPr>
        <w:t>3</w:t>
      </w:r>
      <w:r>
        <w:rPr>
          <w:rStyle w:val="24"/>
          <w:rFonts w:hint="eastAsia" w:ascii="宋体" w:hAnsi="宋体"/>
          <w:color w:val="000000" w:themeColor="text1"/>
          <w:szCs w:val="21"/>
        </w:rPr>
        <w:t>0%，2021年1月31日前支付</w:t>
      </w:r>
      <w:r>
        <w:rPr>
          <w:rFonts w:hint="eastAsia" w:ascii="宋体"/>
          <w:color w:val="000000" w:themeColor="text1"/>
          <w:szCs w:val="21"/>
          <w:lang w:eastAsia="zh-CN"/>
        </w:rPr>
        <w:t>第一年维保费用总额的</w:t>
      </w:r>
      <w:r>
        <w:rPr>
          <w:rStyle w:val="24"/>
          <w:rFonts w:hint="eastAsia" w:ascii="宋体" w:hAnsi="宋体"/>
          <w:color w:val="000000" w:themeColor="text1"/>
          <w:szCs w:val="21"/>
        </w:rPr>
        <w:t>40%。</w:t>
      </w:r>
    </w:p>
    <w:p>
      <w:pPr>
        <w:tabs>
          <w:tab w:val="left" w:pos="993"/>
        </w:tabs>
        <w:spacing w:line="312" w:lineRule="auto"/>
        <w:ind w:left="794"/>
        <w:rPr>
          <w:rStyle w:val="24"/>
          <w:rFonts w:ascii="宋体" w:hAnsi="宋体"/>
          <w:color w:val="000000" w:themeColor="text1"/>
          <w:szCs w:val="21"/>
        </w:rPr>
      </w:pPr>
    </w:p>
    <w:p>
      <w:pPr>
        <w:tabs>
          <w:tab w:val="left" w:pos="993"/>
        </w:tabs>
        <w:spacing w:line="312" w:lineRule="auto"/>
        <w:ind w:left="794"/>
        <w:rPr>
          <w:rStyle w:val="24"/>
          <w:rFonts w:ascii="宋体" w:hAnsi="宋体"/>
          <w:color w:val="000000" w:themeColor="text1"/>
          <w:szCs w:val="21"/>
        </w:rPr>
      </w:pPr>
    </w:p>
    <w:p>
      <w:pPr>
        <w:tabs>
          <w:tab w:val="left" w:pos="993"/>
        </w:tabs>
        <w:spacing w:line="312" w:lineRule="auto"/>
        <w:ind w:left="794"/>
        <w:rPr>
          <w:rStyle w:val="24"/>
          <w:rFonts w:ascii="宋体" w:hAnsi="宋体"/>
          <w:color w:val="000000" w:themeColor="text1"/>
          <w:szCs w:val="21"/>
        </w:rPr>
      </w:pPr>
    </w:p>
    <w:p>
      <w:pPr>
        <w:tabs>
          <w:tab w:val="left" w:pos="993"/>
        </w:tabs>
        <w:spacing w:line="312" w:lineRule="auto"/>
        <w:ind w:left="794"/>
        <w:rPr>
          <w:rStyle w:val="24"/>
          <w:rFonts w:ascii="宋体" w:hAnsi="宋体"/>
          <w:color w:val="000000" w:themeColor="text1"/>
          <w:szCs w:val="21"/>
        </w:rPr>
      </w:pPr>
    </w:p>
    <w:p>
      <w:pPr>
        <w:tabs>
          <w:tab w:val="left" w:pos="993"/>
        </w:tabs>
        <w:spacing w:line="312" w:lineRule="auto"/>
        <w:ind w:left="794"/>
        <w:rPr>
          <w:rStyle w:val="24"/>
          <w:rFonts w:ascii="宋体" w:hAnsi="宋体"/>
          <w:color w:val="000000" w:themeColor="text1"/>
          <w:szCs w:val="21"/>
        </w:rPr>
      </w:pPr>
    </w:p>
    <w:p>
      <w:pPr>
        <w:tabs>
          <w:tab w:val="left" w:pos="993"/>
        </w:tabs>
        <w:spacing w:line="312" w:lineRule="auto"/>
        <w:ind w:left="794"/>
        <w:rPr>
          <w:rStyle w:val="24"/>
          <w:rFonts w:ascii="宋体" w:hAnsi="宋体"/>
          <w:color w:val="000000" w:themeColor="text1"/>
          <w:szCs w:val="21"/>
        </w:rPr>
      </w:pPr>
    </w:p>
    <w:p>
      <w:pPr>
        <w:tabs>
          <w:tab w:val="left" w:pos="993"/>
        </w:tabs>
        <w:spacing w:line="312" w:lineRule="auto"/>
        <w:ind w:left="794"/>
        <w:rPr>
          <w:rStyle w:val="24"/>
          <w:rFonts w:ascii="宋体" w:hAnsi="宋体"/>
          <w:color w:val="000000" w:themeColor="text1"/>
          <w:szCs w:val="21"/>
        </w:rPr>
      </w:pPr>
    </w:p>
    <w:p>
      <w:pPr>
        <w:tabs>
          <w:tab w:val="left" w:pos="993"/>
        </w:tabs>
        <w:spacing w:line="312" w:lineRule="auto"/>
        <w:ind w:left="794"/>
        <w:rPr>
          <w:rStyle w:val="24"/>
          <w:rFonts w:ascii="宋体" w:hAnsi="宋体"/>
          <w:color w:val="000000" w:themeColor="text1"/>
          <w:szCs w:val="21"/>
        </w:rPr>
      </w:pPr>
    </w:p>
    <w:p>
      <w:pPr>
        <w:tabs>
          <w:tab w:val="left" w:pos="993"/>
        </w:tabs>
        <w:spacing w:line="312" w:lineRule="auto"/>
        <w:ind w:left="794"/>
        <w:rPr>
          <w:rStyle w:val="24"/>
          <w:rFonts w:ascii="宋体" w:hAnsi="宋体"/>
          <w:color w:val="000000" w:themeColor="text1"/>
          <w:szCs w:val="21"/>
        </w:rPr>
      </w:pPr>
    </w:p>
    <w:p>
      <w:pPr>
        <w:tabs>
          <w:tab w:val="left" w:pos="993"/>
        </w:tabs>
        <w:spacing w:line="312" w:lineRule="auto"/>
        <w:ind w:left="794"/>
        <w:rPr>
          <w:rStyle w:val="24"/>
          <w:rFonts w:ascii="宋体" w:hAnsi="宋体"/>
          <w:color w:val="000000" w:themeColor="text1"/>
          <w:szCs w:val="21"/>
        </w:rPr>
      </w:pPr>
    </w:p>
    <w:p>
      <w:pPr>
        <w:tabs>
          <w:tab w:val="left" w:pos="993"/>
        </w:tabs>
        <w:spacing w:line="312" w:lineRule="auto"/>
        <w:ind w:left="794"/>
        <w:rPr>
          <w:rStyle w:val="24"/>
          <w:rFonts w:ascii="宋体" w:hAnsi="宋体"/>
          <w:color w:val="000000" w:themeColor="text1"/>
          <w:szCs w:val="21"/>
        </w:rPr>
      </w:pPr>
    </w:p>
    <w:p>
      <w:pPr>
        <w:pStyle w:val="2"/>
        <w:rPr>
          <w:rStyle w:val="24"/>
        </w:rPr>
      </w:pPr>
      <w:bookmarkStart w:id="26" w:name="_Toc497405391"/>
      <w:r>
        <w:rPr>
          <w:rStyle w:val="24"/>
          <w:rFonts w:hint="eastAsia"/>
        </w:rPr>
        <w:t xml:space="preserve">第四部分  </w:t>
      </w:r>
      <w:bookmarkEnd w:id="26"/>
      <w:r>
        <w:rPr>
          <w:rStyle w:val="24"/>
          <w:rFonts w:hint="eastAsia"/>
        </w:rPr>
        <w:t>技术服务要求</w:t>
      </w:r>
    </w:p>
    <w:p>
      <w:pPr>
        <w:numPr>
          <w:ilvl w:val="0"/>
          <w:numId w:val="17"/>
        </w:num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维保项目概述</w:t>
      </w:r>
    </w:p>
    <w:p>
      <w:pPr>
        <w:pStyle w:val="5"/>
        <w:spacing w:line="360" w:lineRule="auto"/>
        <w:ind w:left="420" w:hanging="420" w:hanging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本次维保范围包含多个不同时间的项目，分别为2010年建设的《广东培正学院安全监控建设、改造项目》、2014年建设的的《广东培正学院小岛外教别墅监控项目》、2015年建设的的《人事处打卡监控系统》、2014建设的的红蓝新村视频监控项目、2015年新增监控项目、2016年会议室监控项目、2017年北门监控项目、2017年快递中心监控项目和2018年围墙监控项目。 维保项目概况见下表。     </w:t>
      </w:r>
    </w:p>
    <w:p>
      <w:pPr>
        <w:pStyle w:val="5"/>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维保范围内项目概况统计表</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610"/>
        <w:gridCol w:w="1410"/>
        <w:gridCol w:w="3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610"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w:t>
            </w:r>
          </w:p>
        </w:tc>
        <w:tc>
          <w:tcPr>
            <w:tcW w:w="1410"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建设时间</w:t>
            </w:r>
          </w:p>
        </w:tc>
        <w:tc>
          <w:tcPr>
            <w:tcW w:w="3676"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610"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广东培正学院安全监控建设、改造项目</w:t>
            </w:r>
          </w:p>
        </w:tc>
        <w:tc>
          <w:tcPr>
            <w:tcW w:w="1410"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2010年</w:t>
            </w:r>
          </w:p>
        </w:tc>
        <w:tc>
          <w:tcPr>
            <w:tcW w:w="3676"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采用亚安品牌的摄像机（摄像机类型包含网络摄像机和模拟摄像机2种），平台采用宇视（H3C）的vm8500；存储采用宇视的IP-SAN存储设备，项目包含摄像机149支，覆盖全校室外主要道路和各教学楼、办公楼、宿舍楼出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610"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广东培正学院小岛外教别墅监控项目</w:t>
            </w:r>
          </w:p>
        </w:tc>
        <w:tc>
          <w:tcPr>
            <w:tcW w:w="1410"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2014年</w:t>
            </w:r>
          </w:p>
        </w:tc>
        <w:tc>
          <w:tcPr>
            <w:tcW w:w="3676"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项目采用海康威视的前端网络摄像机；存储采用海康威视的硬盘录像机，覆盖小岛外教别墅全部区域，摄像机数量32支。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610"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人事处打卡监控系统</w:t>
            </w:r>
          </w:p>
        </w:tc>
        <w:tc>
          <w:tcPr>
            <w:tcW w:w="1410"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2015年</w:t>
            </w:r>
          </w:p>
        </w:tc>
        <w:tc>
          <w:tcPr>
            <w:tcW w:w="3676"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项目采用宇视品牌的网络摄像机，监控区域主要为人事处办公室和打卡机安装的位置，摄像机数量为8支。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610"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红蓝新村监控系统</w:t>
            </w:r>
          </w:p>
        </w:tc>
        <w:tc>
          <w:tcPr>
            <w:tcW w:w="1410"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2014年</w:t>
            </w:r>
          </w:p>
        </w:tc>
        <w:tc>
          <w:tcPr>
            <w:tcW w:w="3676"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项目位于我校红蓝新村宿舍区，主要监控红蓝各宿舍出入口及室外主要通道，摄像机数量77支，平台软件及主要设备都为美电贝尔品牌。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610"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新增监控项目</w:t>
            </w:r>
          </w:p>
        </w:tc>
        <w:tc>
          <w:tcPr>
            <w:tcW w:w="1410"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2015年</w:t>
            </w:r>
          </w:p>
        </w:tc>
        <w:tc>
          <w:tcPr>
            <w:tcW w:w="3676"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项目位于我校校内，主要用于2010年项目中为覆盖的室外只要通道，摄像机采用海康威视高清网络摄像机，接入原有宇视平台。摄像机数量为95支。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2610"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行政楼会议室项目</w:t>
            </w:r>
          </w:p>
        </w:tc>
        <w:tc>
          <w:tcPr>
            <w:tcW w:w="1410"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2016年</w:t>
            </w:r>
          </w:p>
        </w:tc>
        <w:tc>
          <w:tcPr>
            <w:tcW w:w="3676"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项目位于我校行政楼三楼，包含2号、4号、326三个会议室6支枪和6个拾音器，还有院长办公室门口和董事长办公室门口2支枪，此项目摄像机全为海康高清网络半球。摄像机数量为8个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2610"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北门监控项目</w:t>
            </w:r>
          </w:p>
        </w:tc>
        <w:tc>
          <w:tcPr>
            <w:tcW w:w="1410"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2017年</w:t>
            </w:r>
          </w:p>
        </w:tc>
        <w:tc>
          <w:tcPr>
            <w:tcW w:w="3676"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此项目分布在我校北门保安室、车队周围和第二天桥周围，共计15支海康摄像机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2610"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快递中心项目</w:t>
            </w:r>
          </w:p>
        </w:tc>
        <w:tc>
          <w:tcPr>
            <w:tcW w:w="1410"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2017年</w:t>
            </w:r>
          </w:p>
        </w:tc>
        <w:tc>
          <w:tcPr>
            <w:tcW w:w="3676"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此项目分布在我校体育馆一楼菜鸟驿站内，共计海康网络摄像机18支。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2610"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围墙监控项目</w:t>
            </w:r>
          </w:p>
        </w:tc>
        <w:tc>
          <w:tcPr>
            <w:tcW w:w="1410"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2018年</w:t>
            </w:r>
          </w:p>
        </w:tc>
        <w:tc>
          <w:tcPr>
            <w:tcW w:w="3676" w:type="dxa"/>
          </w:tcPr>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此项目分布在我校围墙周围，共计16支海康摄像机。</w:t>
            </w:r>
          </w:p>
        </w:tc>
      </w:tr>
    </w:tbl>
    <w:p>
      <w:pPr>
        <w:pStyle w:val="5"/>
        <w:spacing w:line="360" w:lineRule="auto"/>
        <w:rPr>
          <w:rFonts w:asciiTheme="minorEastAsia" w:hAnsiTheme="minorEastAsia" w:eastAsiaTheme="minorEastAsia" w:cstheme="minorEastAsia"/>
          <w:sz w:val="21"/>
          <w:szCs w:val="21"/>
        </w:rPr>
      </w:pP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现有平台说明</w:t>
      </w:r>
      <w:r>
        <w:rPr>
          <w:rFonts w:hint="eastAsia" w:asciiTheme="minorEastAsia" w:hAnsiTheme="minorEastAsia" w:eastAsiaTheme="minorEastAsia" w:cstheme="minorEastAsia"/>
          <w:szCs w:val="21"/>
        </w:rPr>
        <w:t>：</w:t>
      </w:r>
    </w:p>
    <w:p>
      <w:pPr>
        <w:pStyle w:val="37"/>
        <w:numPr>
          <w:ilvl w:val="0"/>
          <w:numId w:val="18"/>
        </w:numPr>
        <w:spacing w:line="360" w:lineRule="auto"/>
        <w:ind w:firstLine="420"/>
        <w:rPr>
          <w:rFonts w:asciiTheme="minorEastAsia" w:hAnsiTheme="minorEastAsia" w:cstheme="minorEastAsia"/>
          <w:szCs w:val="21"/>
        </w:rPr>
      </w:pPr>
      <w:r>
        <w:rPr>
          <w:rFonts w:hint="eastAsia" w:asciiTheme="minorEastAsia" w:hAnsiTheme="minorEastAsia" w:cstheme="minorEastAsia"/>
          <w:szCs w:val="21"/>
        </w:rPr>
        <w:t>视频管理软件VM现有500路授权，1台IP-SAN授权。</w:t>
      </w:r>
    </w:p>
    <w:p>
      <w:pPr>
        <w:pStyle w:val="37"/>
        <w:numPr>
          <w:ilvl w:val="0"/>
          <w:numId w:val="19"/>
        </w:numPr>
        <w:spacing w:line="360" w:lineRule="auto"/>
        <w:ind w:firstLine="420"/>
        <w:rPr>
          <w:rFonts w:asciiTheme="minorEastAsia" w:hAnsiTheme="minorEastAsia" w:cstheme="minorEastAsia"/>
          <w:szCs w:val="21"/>
        </w:rPr>
      </w:pPr>
      <w:r>
        <w:rPr>
          <w:rFonts w:hint="eastAsia" w:asciiTheme="minorEastAsia" w:hAnsiTheme="minorEastAsia" w:cstheme="minorEastAsia"/>
          <w:szCs w:val="21"/>
        </w:rPr>
        <w:t>数据管理软件DM，支持IP SAN存储设备和第三方备份资源：最多支持存储的摄像机数量4096个，最多可管理的备份资源数量16个，支持备份业务配置的最大摄像机路数1024个。</w:t>
      </w:r>
    </w:p>
    <w:p>
      <w:pPr>
        <w:pStyle w:val="37"/>
        <w:numPr>
          <w:ilvl w:val="0"/>
          <w:numId w:val="20"/>
        </w:numPr>
        <w:spacing w:line="360" w:lineRule="auto"/>
        <w:ind w:firstLine="420"/>
        <w:rPr>
          <w:rFonts w:asciiTheme="minorEastAsia" w:hAnsiTheme="minorEastAsia" w:cstheme="minorEastAsia"/>
          <w:szCs w:val="21"/>
        </w:rPr>
      </w:pPr>
      <w:r>
        <w:rPr>
          <w:rFonts w:hint="eastAsia" w:asciiTheme="minorEastAsia" w:hAnsiTheme="minorEastAsia" w:cstheme="minorEastAsia"/>
          <w:szCs w:val="21"/>
        </w:rPr>
        <w:t>我校现有3台DA服务器，分别安装在3台普通电脑上。</w:t>
      </w:r>
    </w:p>
    <w:p>
      <w:pPr>
        <w:pStyle w:val="37"/>
        <w:numPr>
          <w:ilvl w:val="0"/>
          <w:numId w:val="21"/>
        </w:numPr>
        <w:spacing w:line="360" w:lineRule="auto"/>
        <w:ind w:firstLine="420"/>
        <w:rPr>
          <w:rFonts w:asciiTheme="minorEastAsia" w:hAnsiTheme="minorEastAsia" w:cstheme="minorEastAsia"/>
          <w:szCs w:val="21"/>
        </w:rPr>
      </w:pPr>
      <w:r>
        <w:rPr>
          <w:rFonts w:hint="eastAsia" w:asciiTheme="minorEastAsia" w:hAnsiTheme="minorEastAsia" w:cstheme="minorEastAsia"/>
          <w:szCs w:val="21"/>
        </w:rPr>
        <w:t>视频管理软件VM、数据管理软件DM和媒体交换软件MS分别安装在3台IBM服务器上，服务器操作系统为centos 6.2，服务器型号为IBM System x3650 M3。</w:t>
      </w:r>
    </w:p>
    <w:p>
      <w:pPr>
        <w:pStyle w:val="37"/>
        <w:numPr>
          <w:ilvl w:val="0"/>
          <w:numId w:val="22"/>
        </w:numPr>
        <w:spacing w:line="360" w:lineRule="auto"/>
        <w:ind w:firstLine="420"/>
        <w:rPr>
          <w:rFonts w:asciiTheme="minorEastAsia" w:hAnsiTheme="minorEastAsia" w:cstheme="minorEastAsia"/>
          <w:szCs w:val="21"/>
        </w:rPr>
      </w:pPr>
      <w:r>
        <w:rPr>
          <w:rFonts w:hint="eastAsia" w:asciiTheme="minorEastAsia" w:hAnsiTheme="minorEastAsia" w:cstheme="minorEastAsia"/>
          <w:szCs w:val="21"/>
        </w:rPr>
        <w:t>万能解码软件SDC安装在4台Window7的工控机平台上。</w:t>
      </w:r>
    </w:p>
    <w:p>
      <w:pPr>
        <w:pStyle w:val="37"/>
        <w:numPr>
          <w:ilvl w:val="0"/>
          <w:numId w:val="22"/>
        </w:numPr>
        <w:spacing w:line="360" w:lineRule="auto"/>
        <w:ind w:firstLine="420"/>
        <w:rPr>
          <w:rFonts w:asciiTheme="minorEastAsia" w:hAnsiTheme="minorEastAsia" w:cstheme="minorEastAsia"/>
          <w:szCs w:val="21"/>
        </w:rPr>
      </w:pPr>
      <w:r>
        <w:rPr>
          <w:rFonts w:hint="eastAsia" w:asciiTheme="minorEastAsia" w:hAnsiTheme="minorEastAsia" w:cstheme="minorEastAsia"/>
          <w:szCs w:val="21"/>
        </w:rPr>
        <w:t>2015年新增1台VS-MS8500-E-UV视频管理服务器。</w:t>
      </w:r>
    </w:p>
    <w:p>
      <w:pPr>
        <w:pStyle w:val="37"/>
        <w:numPr>
          <w:ilvl w:val="0"/>
          <w:numId w:val="22"/>
        </w:numPr>
        <w:spacing w:line="360" w:lineRule="auto"/>
        <w:ind w:firstLine="420"/>
        <w:rPr>
          <w:rFonts w:asciiTheme="minorEastAsia" w:hAnsiTheme="minorEastAsia" w:cstheme="minorEastAsia"/>
          <w:szCs w:val="21"/>
        </w:rPr>
      </w:pPr>
      <w:r>
        <w:rPr>
          <w:rFonts w:hint="eastAsia" w:asciiTheme="minorEastAsia" w:hAnsiTheme="minorEastAsia" w:cstheme="minorEastAsia"/>
          <w:szCs w:val="21"/>
        </w:rPr>
        <w:t>红蓝新村监控中心使用美电贝尔公司的物联网安防综合管理平台。</w:t>
      </w:r>
    </w:p>
    <w:p>
      <w:pPr>
        <w:pStyle w:val="37"/>
        <w:spacing w:line="360" w:lineRule="auto"/>
        <w:ind w:firstLine="0" w:firstLineChars="0"/>
        <w:rPr>
          <w:rFonts w:asciiTheme="minorEastAsia" w:hAnsiTheme="minorEastAsia" w:cstheme="minorEastAsia"/>
          <w:b/>
          <w:bCs/>
          <w:szCs w:val="21"/>
        </w:rPr>
      </w:pPr>
      <w:r>
        <w:rPr>
          <w:rFonts w:hint="eastAsia" w:asciiTheme="minorEastAsia" w:hAnsiTheme="minorEastAsia" w:cstheme="minorEastAsia"/>
          <w:b/>
          <w:bCs/>
          <w:szCs w:val="21"/>
        </w:rPr>
        <w:t>存储设备说明</w:t>
      </w:r>
    </w:p>
    <w:p>
      <w:pPr>
        <w:pStyle w:val="37"/>
        <w:spacing w:line="360" w:lineRule="auto"/>
        <w:ind w:firstLine="0" w:firstLineChars="0"/>
        <w:rPr>
          <w:rFonts w:asciiTheme="minorEastAsia" w:hAnsiTheme="minorEastAsia" w:cstheme="minorEastAsia"/>
          <w:szCs w:val="21"/>
        </w:rPr>
      </w:pPr>
      <w:r>
        <w:rPr>
          <w:rFonts w:hint="eastAsia" w:asciiTheme="minorEastAsia" w:hAnsiTheme="minorEastAsia" w:cstheme="minorEastAsia"/>
          <w:szCs w:val="21"/>
        </w:rPr>
        <w:t xml:space="preserve">   本次维保的存储设备主要分为以下几种，分别为</w:t>
      </w:r>
    </w:p>
    <w:p>
      <w:pPr>
        <w:pStyle w:val="37"/>
        <w:numPr>
          <w:ilvl w:val="0"/>
          <w:numId w:val="23"/>
        </w:numPr>
        <w:spacing w:line="360" w:lineRule="auto"/>
        <w:ind w:firstLineChars="0"/>
        <w:rPr>
          <w:rFonts w:asciiTheme="minorEastAsia" w:hAnsiTheme="minorEastAsia" w:cstheme="minorEastAsia"/>
          <w:color w:val="000000"/>
          <w:kern w:val="0"/>
          <w:szCs w:val="21"/>
        </w:rPr>
      </w:pPr>
      <w:r>
        <w:rPr>
          <w:rFonts w:hint="eastAsia" w:asciiTheme="minorEastAsia" w:hAnsiTheme="minorEastAsia" w:cstheme="minorEastAsia"/>
          <w:szCs w:val="21"/>
        </w:rPr>
        <w:t>2010年建设的宇视公司品牌的IP-SAN存储（包含</w:t>
      </w:r>
      <w:r>
        <w:rPr>
          <w:rFonts w:hint="eastAsia" w:asciiTheme="minorEastAsia" w:hAnsiTheme="minorEastAsia" w:cstheme="minorEastAsia"/>
          <w:color w:val="000000"/>
          <w:kern w:val="0"/>
          <w:szCs w:val="21"/>
        </w:rPr>
        <w:t>NI0Z1VX1500型号的</w:t>
      </w:r>
      <w:r>
        <w:rPr>
          <w:rFonts w:hint="eastAsia" w:asciiTheme="minorEastAsia" w:hAnsiTheme="minorEastAsia" w:cstheme="minorEastAsia"/>
          <w:szCs w:val="21"/>
        </w:rPr>
        <w:t>存储主机1台和</w:t>
      </w:r>
      <w:r>
        <w:rPr>
          <w:rFonts w:hint="eastAsia" w:asciiTheme="minorEastAsia" w:hAnsiTheme="minorEastAsia" w:cstheme="minorEastAsia"/>
          <w:color w:val="000000"/>
          <w:kern w:val="0"/>
          <w:szCs w:val="21"/>
        </w:rPr>
        <w:t>NI0Z1DE1116型号的存储扩展机柜2台）。</w:t>
      </w:r>
    </w:p>
    <w:p>
      <w:pPr>
        <w:pStyle w:val="37"/>
        <w:numPr>
          <w:ilvl w:val="0"/>
          <w:numId w:val="23"/>
        </w:numPr>
        <w:spacing w:line="360" w:lineRule="auto"/>
        <w:ind w:firstLineChars="0"/>
        <w:rPr>
          <w:rFonts w:asciiTheme="minorEastAsia" w:hAnsiTheme="minorEastAsia" w:cstheme="minorEastAsia"/>
          <w:szCs w:val="21"/>
        </w:rPr>
      </w:pPr>
      <w:r>
        <w:rPr>
          <w:rFonts w:hint="eastAsia" w:asciiTheme="minorEastAsia" w:hAnsiTheme="minorEastAsia" w:cstheme="minorEastAsia"/>
          <w:color w:val="000000"/>
          <w:kern w:val="0"/>
          <w:szCs w:val="21"/>
        </w:rPr>
        <w:t>2014年的建设的的海康威视公司品牌的DS-8616N-E8型号的数字硬盘录像机2台。（妙儿园项目）</w:t>
      </w:r>
    </w:p>
    <w:p>
      <w:pPr>
        <w:pStyle w:val="37"/>
        <w:numPr>
          <w:ilvl w:val="0"/>
          <w:numId w:val="23"/>
        </w:numPr>
        <w:spacing w:line="360" w:lineRule="auto"/>
        <w:ind w:firstLineChars="0"/>
        <w:rPr>
          <w:rFonts w:asciiTheme="minorEastAsia" w:hAnsiTheme="minorEastAsia" w:cstheme="minorEastAsia"/>
          <w:szCs w:val="21"/>
        </w:rPr>
      </w:pPr>
      <w:r>
        <w:rPr>
          <w:rFonts w:hint="eastAsia" w:asciiTheme="minorEastAsia" w:hAnsiTheme="minorEastAsia" w:cstheme="minorEastAsia"/>
          <w:color w:val="000000"/>
          <w:kern w:val="0"/>
          <w:szCs w:val="21"/>
        </w:rPr>
        <w:t>2014年建设的美电贝尔公司品牌的BL-NVR716-HD的5台硬盘录像机。</w:t>
      </w:r>
    </w:p>
    <w:p>
      <w:pPr>
        <w:pStyle w:val="37"/>
        <w:numPr>
          <w:ilvl w:val="0"/>
          <w:numId w:val="23"/>
        </w:numPr>
        <w:spacing w:line="360" w:lineRule="auto"/>
        <w:ind w:firstLineChars="0"/>
        <w:rPr>
          <w:rFonts w:asciiTheme="minorEastAsia" w:hAnsiTheme="minorEastAsia" w:cstheme="minorEastAsia"/>
          <w:szCs w:val="21"/>
        </w:rPr>
      </w:pPr>
      <w:r>
        <w:rPr>
          <w:rFonts w:hint="eastAsia" w:asciiTheme="minorEastAsia" w:hAnsiTheme="minorEastAsia" w:cstheme="minorEastAsia"/>
          <w:color w:val="000000"/>
          <w:kern w:val="0"/>
          <w:szCs w:val="21"/>
        </w:rPr>
        <w:t>2015年新增项目的宇视公司的IP-SAN（NI0ZIVX1600-UV）存储主机2台和型号为NI0Z1DE1124-UV的磁盘扩展柜3台。</w:t>
      </w:r>
    </w:p>
    <w:p>
      <w:pPr>
        <w:pStyle w:val="37"/>
        <w:numPr>
          <w:ilvl w:val="0"/>
          <w:numId w:val="23"/>
        </w:numPr>
        <w:spacing w:line="360" w:lineRule="auto"/>
        <w:ind w:firstLineChars="0"/>
        <w:rPr>
          <w:rFonts w:asciiTheme="minorEastAsia" w:hAnsiTheme="minorEastAsia" w:cstheme="minorEastAsia"/>
          <w:szCs w:val="21"/>
        </w:rPr>
      </w:pPr>
      <w:r>
        <w:rPr>
          <w:rFonts w:hint="eastAsia" w:asciiTheme="minorEastAsia" w:hAnsiTheme="minorEastAsia" w:cstheme="minorEastAsia"/>
          <w:color w:val="000000"/>
          <w:kern w:val="0"/>
          <w:szCs w:val="21"/>
        </w:rPr>
        <w:t>2016年会议室监控项目硬盘录像机为DS-7916N-E41台。</w:t>
      </w:r>
    </w:p>
    <w:p>
      <w:pPr>
        <w:pStyle w:val="37"/>
        <w:numPr>
          <w:ilvl w:val="0"/>
          <w:numId w:val="23"/>
        </w:numPr>
        <w:spacing w:line="360" w:lineRule="auto"/>
        <w:ind w:firstLineChars="0"/>
        <w:rPr>
          <w:rFonts w:asciiTheme="minorEastAsia" w:hAnsiTheme="minorEastAsia" w:cstheme="minorEastAsia"/>
          <w:szCs w:val="21"/>
        </w:rPr>
      </w:pPr>
      <w:r>
        <w:rPr>
          <w:rFonts w:hint="eastAsia" w:asciiTheme="minorEastAsia" w:hAnsiTheme="minorEastAsia" w:cstheme="minorEastAsia"/>
          <w:color w:val="000000"/>
          <w:kern w:val="0"/>
          <w:szCs w:val="21"/>
        </w:rPr>
        <w:t>2017年快递中心项目硬盘录像机为DS-8632N-16一台</w:t>
      </w:r>
    </w:p>
    <w:p>
      <w:pPr>
        <w:pStyle w:val="5"/>
        <w:numPr>
          <w:ilvl w:val="0"/>
          <w:numId w:val="17"/>
        </w:numPr>
        <w:spacing w:line="360" w:lineRule="auto"/>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维保范围</w:t>
      </w:r>
    </w:p>
    <w:p>
      <w:pPr>
        <w:pStyle w:val="5"/>
        <w:spacing w:line="360" w:lineRule="auto"/>
        <w:ind w:left="525" w:leftChars="200" w:hanging="105" w:hangingChars="5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 xml:space="preserve"> 本次维保范围包含9期监控项目的前端设备(包含摄像机、摄像机电源和支架、防雷器)、前端摄像机到交换机端网络线路（包含编码器、光纤收发器、光纤收发器电源、光纤熔接盒、光纤跳线）、前端摄像机到机房的电源线路和监控中心相关监控设备（包含服务器、存储设备、电视墙监视器、所有平台软件）：</w:t>
      </w:r>
    </w:p>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1.维保设备数量及规格型号，详情请参阅《2020年监控系统维保设备数量型号清单统计表》</w:t>
      </w:r>
    </w:p>
    <w:p>
      <w:pPr>
        <w:pStyle w:val="5"/>
        <w:spacing w:line="360" w:lineRule="auto"/>
        <w:ind w:left="420" w:leftChars="20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 xml:space="preserve"> 2.前端摄像机到楼内的相关线路，线路走向详情请参阅《2020年摄像机点位及走线图》。维保范围内的线路包含：</w:t>
      </w:r>
    </w:p>
    <w:p>
      <w:pPr>
        <w:pStyle w:val="5"/>
        <w:numPr>
          <w:ilvl w:val="0"/>
          <w:numId w:val="24"/>
        </w:numPr>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从前端摄像机到楼内接入层交换机的网络线路，分为以下3种：a.从前端摄像机到接入层交换机的双绞线网络线路；b.从前端摄像机到室外立杆内编码器的同轴电缆线路+从室外立杆到接入层交换机的光纤网络线路（包含两端的光纤收发器及电源、光纤熔接盒和跳线）；c.从前端摄像机到 到接入交换机端编码器的同轴电缆网络线路。</w:t>
      </w:r>
    </w:p>
    <w:p>
      <w:pPr>
        <w:pStyle w:val="5"/>
        <w:numPr>
          <w:ilvl w:val="0"/>
          <w:numId w:val="24"/>
        </w:numPr>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从前端摄像机到楼内供电总闸的电源线路，分为以下2种情况：a.室内摄像机采用集中</w:t>
      </w:r>
      <w:r>
        <w:rPr>
          <w:rFonts w:hint="eastAsia" w:asciiTheme="minorEastAsia" w:hAnsiTheme="minorEastAsia" w:eastAsiaTheme="minorEastAsia" w:cstheme="minorEastAsia"/>
          <w:b/>
          <w:bCs/>
          <w:sz w:val="21"/>
          <w:szCs w:val="21"/>
        </w:rPr>
        <w:t>供电</w:t>
      </w:r>
      <w:r>
        <w:rPr>
          <w:rFonts w:hint="eastAsia" w:asciiTheme="minorEastAsia" w:hAnsiTheme="minorEastAsia" w:eastAsiaTheme="minorEastAsia" w:cstheme="minorEastAsia"/>
          <w:sz w:val="21"/>
          <w:szCs w:val="21"/>
        </w:rPr>
        <w:t>的方式，从网络机房取220V电源，经集中供电电源转为12V电源直接给前端摄像机供电，此种供电方式的摄像机主要为室内网络摄像机；b.室外摄像机直接从楼内网络机房取220V直接接入室外立杆的接线箱，然后在立杆接线箱内通过变压器转为24V或12V，此种供电方式主要为室外立杆的模拟摄像机。</w:t>
      </w:r>
    </w:p>
    <w:p>
      <w:pPr>
        <w:pStyle w:val="5"/>
        <w:numPr>
          <w:ilvl w:val="0"/>
          <w:numId w:val="17"/>
        </w:numPr>
        <w:spacing w:line="360" w:lineRule="auto"/>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对维保项目的整体要求</w:t>
      </w:r>
    </w:p>
    <w:p>
      <w:pPr>
        <w:pStyle w:val="5"/>
        <w:tabs>
          <w:tab w:val="left" w:pos="426"/>
        </w:tabs>
        <w:spacing w:line="360" w:lineRule="auto"/>
        <w:ind w:left="420" w:hanging="420" w:hanging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 本次维保项目的承保期限开始日期</w:t>
      </w:r>
      <w:r>
        <w:rPr>
          <w:rFonts w:hint="eastAsia" w:asciiTheme="minorEastAsia" w:hAnsiTheme="minorEastAsia" w:eastAsiaTheme="minorEastAsia" w:cstheme="minorEastAsia"/>
          <w:sz w:val="21"/>
          <w:szCs w:val="21"/>
          <w:lang w:eastAsia="zh-CN"/>
        </w:rPr>
        <w:t>为</w:t>
      </w:r>
      <w:r>
        <w:rPr>
          <w:rFonts w:hint="eastAsia" w:asciiTheme="minorEastAsia" w:hAnsiTheme="minorEastAsia" w:eastAsiaTheme="minorEastAsia" w:cstheme="minorEastAsia"/>
          <w:sz w:val="21"/>
          <w:szCs w:val="21"/>
        </w:rPr>
        <w:t>2020年1月1日，维保项目的结束日期为202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年12月31日。</w:t>
      </w:r>
    </w:p>
    <w:p>
      <w:pPr>
        <w:pStyle w:val="5"/>
        <w:tabs>
          <w:tab w:val="left" w:pos="426"/>
        </w:tabs>
        <w:spacing w:line="360" w:lineRule="auto"/>
        <w:ind w:left="420" w:hanging="420" w:hanging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3.2 </w:t>
      </w:r>
      <w:r>
        <w:rPr>
          <w:rFonts w:asciiTheme="minorEastAsia" w:hAnsiTheme="minorEastAsia" w:eastAsiaTheme="minorEastAsia" w:cstheme="minorEastAsia"/>
          <w:sz w:val="21"/>
          <w:szCs w:val="21"/>
        </w:rPr>
        <w:t>每个月保证对所有前端摄像机、监控中心主要设备（存储设备、服务器、监视器、媒体服务器、解码器设备）、编码器进行一次巡检、除尘；对前端摄像机到交换机端的网络线路和从前端摄像机到楼内配电开关的电源线路进行一次检测，保证线路畅通，排除安全隐患。每次巡检、除尘和线路检测完成后需要有巡检和检测报告。</w:t>
      </w:r>
    </w:p>
    <w:p>
      <w:pPr>
        <w:pStyle w:val="5"/>
        <w:tabs>
          <w:tab w:val="left" w:pos="426"/>
        </w:tabs>
        <w:spacing w:line="360" w:lineRule="auto"/>
        <w:ind w:left="420" w:hanging="420" w:hanging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 中标人负责其派出的维护人员的人身意外保险，因中标人原因造成的工伤事故，由中标人负责。</w:t>
      </w:r>
    </w:p>
    <w:p>
      <w:pPr>
        <w:pStyle w:val="5"/>
        <w:tabs>
          <w:tab w:val="left" w:pos="426"/>
        </w:tabs>
        <w:spacing w:line="360" w:lineRule="auto"/>
        <w:ind w:left="420" w:hanging="420" w:hanging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 中标人在维护过程中，具有对我校监控系统的相关技术资料及密码有保密义务，禁止将相关技术资料及密码泄露给第三方公司或者个人；禁止利用维护之便拷贝监控录像。</w:t>
      </w:r>
    </w:p>
    <w:p>
      <w:pPr>
        <w:pStyle w:val="5"/>
        <w:spacing w:line="360" w:lineRule="auto"/>
        <w:ind w:left="420" w:hanging="420" w:hanging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 中标人要自备必要的常用或替代备件（摄像机、摄像机电源、摄像机支架、防雷器等），对于不能及时修复的故障点，必须先使用备件替代，保障故障点正常工作。</w:t>
      </w:r>
    </w:p>
    <w:p>
      <w:pPr>
        <w:pStyle w:val="5"/>
        <w:spacing w:line="360" w:lineRule="auto"/>
        <w:ind w:left="420" w:hanging="420" w:hanging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 每次维护保养需做好文字记录，并经双方指定人员签字确认。</w:t>
      </w:r>
    </w:p>
    <w:p>
      <w:pPr>
        <w:pStyle w:val="5"/>
        <w:spacing w:line="360" w:lineRule="auto"/>
        <w:ind w:left="420" w:hanging="420" w:hanging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3.7中标人必须具备维护工作的能力（熟悉基本的网络知识和视频监控系统故障检测能力），自备必要的维护工具（工程梯、网络测线仪、万用表等工具）。</w:t>
      </w:r>
    </w:p>
    <w:p>
      <w:pPr>
        <w:pStyle w:val="5"/>
        <w:spacing w:line="360" w:lineRule="auto"/>
        <w:ind w:left="420" w:hanging="420" w:hanging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3.8中标人必须能够响应我校提出的其他正常维保要求。</w:t>
      </w:r>
    </w:p>
    <w:p>
      <w:pPr>
        <w:pStyle w:val="5"/>
        <w:spacing w:line="360" w:lineRule="auto"/>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四．维保技术要求</w:t>
      </w:r>
    </w:p>
    <w:p>
      <w:pPr>
        <w:pStyle w:val="5"/>
        <w:spacing w:line="360" w:lineRule="auto"/>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 xml:space="preserve"> 4.1</w:t>
      </w:r>
      <w:r>
        <w:rPr>
          <w:rFonts w:hint="eastAsia" w:asciiTheme="minorEastAsia" w:hAnsiTheme="minorEastAsia" w:eastAsiaTheme="minorEastAsia" w:cstheme="minorEastAsia"/>
          <w:b/>
          <w:bCs/>
          <w:sz w:val="21"/>
          <w:szCs w:val="21"/>
        </w:rPr>
        <w:t>.宇视（H3C）公司设备及软件的维保要求（已包含平台软件）：</w:t>
      </w:r>
    </w:p>
    <w:p>
      <w:pPr>
        <w:pStyle w:val="37"/>
        <w:spacing w:line="360" w:lineRule="auto"/>
        <w:ind w:left="420" w:hanging="420" w:hangingChars="200"/>
        <w:rPr>
          <w:rFonts w:asciiTheme="minorEastAsia" w:hAnsiTheme="minorEastAsia" w:cstheme="minorEastAsia"/>
          <w:szCs w:val="21"/>
        </w:rPr>
      </w:pPr>
      <w:r>
        <w:rPr>
          <w:rFonts w:hint="eastAsia" w:asciiTheme="minorEastAsia" w:hAnsiTheme="minorEastAsia" w:cstheme="minorEastAsia"/>
          <w:szCs w:val="21"/>
        </w:rPr>
        <w:t>我校监控系统中的宇视公司产品主要包含存储设备、编码器和平台软件。宇视（H3C）设备及软件的维保要求：</w:t>
      </w:r>
    </w:p>
    <w:p>
      <w:pPr>
        <w:spacing w:line="360" w:lineRule="auto"/>
        <w:ind w:left="420" w:hanging="420" w:hanging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 xml:space="preserve">   本次维保要求对宇视（H3C）公司的设备及软件（不包含宇视的8支摄像机） </w:t>
      </w:r>
      <w:r>
        <w:rPr>
          <w:rFonts w:hint="eastAsia" w:asciiTheme="minorEastAsia" w:hAnsiTheme="minorEastAsia" w:eastAsiaTheme="minorEastAsia" w:cstheme="minorEastAsia"/>
          <w:b/>
          <w:bCs/>
          <w:szCs w:val="21"/>
        </w:rPr>
        <w:t>购买宇视公司的</w:t>
      </w:r>
      <w:r>
        <w:rPr>
          <w:rFonts w:hint="eastAsia" w:asciiTheme="minorEastAsia" w:hAnsiTheme="minorEastAsia" w:eastAsiaTheme="minorEastAsia" w:cstheme="minorEastAsia"/>
          <w:b/>
          <w:bCs/>
          <w:szCs w:val="21"/>
          <w:lang w:val="en-US" w:eastAsia="zh-CN"/>
        </w:rPr>
        <w:t>2</w:t>
      </w:r>
      <w:r>
        <w:rPr>
          <w:rFonts w:hint="eastAsia" w:asciiTheme="minorEastAsia" w:hAnsiTheme="minorEastAsia" w:eastAsiaTheme="minorEastAsia" w:cstheme="minorEastAsia"/>
          <w:b/>
          <w:bCs/>
          <w:szCs w:val="21"/>
        </w:rPr>
        <w:t>年基本维保服务。</w:t>
      </w:r>
    </w:p>
    <w:p>
      <w:pPr>
        <w:spacing w:line="360" w:lineRule="auto"/>
        <w:ind w:left="420" w:hanging="420" w:hanging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本次维保还包含人事</w:t>
      </w:r>
      <w:bookmarkStart w:id="27" w:name="_GoBack"/>
      <w:bookmarkEnd w:id="27"/>
      <w:r>
        <w:rPr>
          <w:rFonts w:hint="eastAsia" w:asciiTheme="minorEastAsia" w:hAnsiTheme="minorEastAsia" w:eastAsiaTheme="minorEastAsia" w:cstheme="minorEastAsia"/>
          <w:szCs w:val="21"/>
        </w:rPr>
        <w:t>处考勤摄像机8支，品牌为宇视，型号为IPC-HIC2201ES—CF36IR-UV，此8支摄像机不要求购买原厂维保服务，维保要求参照4.2中的维保要求。</w:t>
      </w:r>
    </w:p>
    <w:p>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4.2 前端设备（包含摄像机、摄像机电源、防雷器、亚安编码器、编码器电源）维保要求</w:t>
      </w:r>
    </w:p>
    <w:p>
      <w:pPr>
        <w:pStyle w:val="5"/>
        <w:spacing w:line="360" w:lineRule="auto"/>
        <w:ind w:left="630" w:hanging="630" w:hangingChars="3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现有前端摄像机品牌主要为亚安、海康威视和宇视，详情请参阅《维保设备数量及规格型号统计表》，本次维保对前端设备的维保要求如下：</w:t>
      </w:r>
    </w:p>
    <w:p>
      <w:pPr>
        <w:pStyle w:val="5"/>
        <w:numPr>
          <w:ilvl w:val="0"/>
          <w:numId w:val="25"/>
        </w:numPr>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从接到客户报障电话开始，48小时内（已包含更换备件的时间）</w:t>
      </w:r>
    </w:p>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内解决故障（由于我校主干监控专网和楼内监控交换机故障引起的例外），保证监控点位正常工作。</w:t>
      </w:r>
    </w:p>
    <w:p>
      <w:pPr>
        <w:pStyle w:val="5"/>
        <w:numPr>
          <w:ilvl w:val="0"/>
          <w:numId w:val="25"/>
        </w:numPr>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对于不能当场维修需拆下送修的摄像机，需提供不低于故障点摄像机参数的备机，现有摄像机参数请查阅《维保范围内前端摄像机参数统计表》。</w:t>
      </w:r>
    </w:p>
    <w:p>
      <w:pPr>
        <w:pStyle w:val="5"/>
        <w:numPr>
          <w:ilvl w:val="0"/>
          <w:numId w:val="25"/>
        </w:numPr>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对于不能当场维修需拆下送修编码器（非宇视品牌的2台编码器）、防雷器，需提供备件进行替换。</w:t>
      </w:r>
    </w:p>
    <w:p>
      <w:pPr>
        <w:pStyle w:val="5"/>
        <w:numPr>
          <w:ilvl w:val="0"/>
          <w:numId w:val="25"/>
        </w:numPr>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对于不能维修或者无维修价值的前端设备，需免费更换为不低于原有设备参数的海康品牌的新摄像机（需能接入现有平台）。现有摄像机参数请查阅《维保范围内前端摄像机参数统计表》。</w:t>
      </w:r>
    </w:p>
    <w:p>
      <w:pPr>
        <w:pStyle w:val="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4.3线路故障的维保要求</w:t>
      </w:r>
    </w:p>
    <w:p>
      <w:pPr>
        <w:pStyle w:val="5"/>
        <w:spacing w:line="360" w:lineRule="auto"/>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本次维保对线路故障的维保要求如下：</w:t>
      </w:r>
    </w:p>
    <w:p>
      <w:pPr>
        <w:pStyle w:val="5"/>
        <w:spacing w:line="360" w:lineRule="auto"/>
        <w:ind w:left="210" w:hanging="210" w:hanging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对于因线路故障原因造成的故障，需在48小时内恢复线路正常，保证故障点视频图像正常录像，不能及时修复的，需搭建临时线路。</w:t>
      </w:r>
    </w:p>
    <w:p>
      <w:pPr>
        <w:pStyle w:val="5"/>
        <w:spacing w:line="360" w:lineRule="auto"/>
        <w:rPr>
          <w:rFonts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b/>
          <w:bCs/>
          <w:sz w:val="21"/>
          <w:szCs w:val="21"/>
        </w:rPr>
        <w:t>4.4 存储设备维保要求</w:t>
      </w:r>
    </w:p>
    <w:p>
      <w:pPr>
        <w:pStyle w:val="5"/>
        <w:spacing w:line="360" w:lineRule="auto"/>
        <w:rPr>
          <w:rFonts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本次对维保范围内的存储设备的</w:t>
      </w:r>
      <w:r>
        <w:rPr>
          <w:rFonts w:hint="eastAsia" w:asciiTheme="minorEastAsia" w:hAnsiTheme="minorEastAsia" w:eastAsiaTheme="minorEastAsia" w:cstheme="minorEastAsia"/>
          <w:b/>
          <w:bCs/>
          <w:color w:val="000000"/>
          <w:kern w:val="0"/>
          <w:sz w:val="21"/>
          <w:szCs w:val="21"/>
        </w:rPr>
        <w:t>维保要求</w:t>
      </w:r>
      <w:r>
        <w:rPr>
          <w:rFonts w:hint="eastAsia" w:asciiTheme="minorEastAsia" w:hAnsiTheme="minorEastAsia" w:eastAsiaTheme="minorEastAsia" w:cstheme="minorEastAsia"/>
          <w:color w:val="000000"/>
          <w:kern w:val="0"/>
          <w:sz w:val="21"/>
          <w:szCs w:val="21"/>
        </w:rPr>
        <w:t>如下：</w:t>
      </w:r>
    </w:p>
    <w:p>
      <w:pPr>
        <w:pStyle w:val="5"/>
        <w:numPr>
          <w:ilvl w:val="0"/>
          <w:numId w:val="26"/>
        </w:numPr>
        <w:spacing w:line="360" w:lineRule="auto"/>
        <w:rPr>
          <w:rFonts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.对宇视品牌的IP-SAN存储设备维保要求参照4.1中的维保要求。</w:t>
      </w:r>
    </w:p>
    <w:p>
      <w:pPr>
        <w:pStyle w:val="5"/>
        <w:numPr>
          <w:ilvl w:val="0"/>
          <w:numId w:val="26"/>
        </w:numPr>
        <w:spacing w:line="360" w:lineRule="auto"/>
        <w:rPr>
          <w:rFonts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.对海康威视品牌和美电贝尔品牌的硬盘录像机故障，要求在48小时内恢复设备正常工作。</w:t>
      </w:r>
    </w:p>
    <w:p>
      <w:pPr>
        <w:pStyle w:val="5"/>
        <w:spacing w:line="360" w:lineRule="auto"/>
        <w:rPr>
          <w:rFonts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4.5 服务器维保要求</w:t>
      </w:r>
    </w:p>
    <w:p>
      <w:pPr>
        <w:pStyle w:val="5"/>
        <w:spacing w:line="360" w:lineRule="auto"/>
        <w:ind w:left="420" w:leftChars="200"/>
        <w:rPr>
          <w:rFonts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本次维保范围内的服务器数量为4台，品牌为IBM的3台，型号为IBM System x3650 M3，安装的操作系统为centos 6.2。分别安装视频管理服务软件（VM)、数据管理服务软件（DM）和媒体交换服务软件3个监控系统平台组成软件；品牌为联想的RD540 E5-2603V2型号服务器一台，安装美电贝尔公司的平台软件，使用地点为红蓝新村。</w:t>
      </w:r>
    </w:p>
    <w:p>
      <w:pPr>
        <w:pStyle w:val="5"/>
        <w:spacing w:line="360" w:lineRule="auto"/>
        <w:ind w:left="420" w:leftChars="200"/>
        <w:rPr>
          <w:rFonts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因服务器承载监控系统平台软件，出现可能导致整个监控系统无法运行，因此服务器故障属于特别重大故障，特对维保单位提出以下维保要求：</w:t>
      </w:r>
    </w:p>
    <w:p>
      <w:pPr>
        <w:pStyle w:val="5"/>
        <w:spacing w:line="360" w:lineRule="auto"/>
        <w:rPr>
          <w:rFonts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1）.对宇视品牌的平台软件维保要求参照4.1中的要求处理。</w:t>
      </w:r>
    </w:p>
    <w:p>
      <w:pPr>
        <w:pStyle w:val="5"/>
        <w:spacing w:line="360" w:lineRule="auto"/>
        <w:rPr>
          <w:rFonts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2）.非硬件故障需在接到报障电话后48小时内恢复服务器正常工作。</w:t>
      </w:r>
    </w:p>
    <w:p>
      <w:pPr>
        <w:pStyle w:val="5"/>
        <w:spacing w:line="360" w:lineRule="auto"/>
        <w:rPr>
          <w:rFonts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3).维保单位检测后发现为服务器硬件故障的，由我校负责购买新硬件，维保单位负责安装恢复设备正常工作状态。</w:t>
      </w:r>
    </w:p>
    <w:p>
      <w:pPr>
        <w:pStyle w:val="5"/>
        <w:spacing w:line="360" w:lineRule="auto"/>
        <w:rPr>
          <w:rFonts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五．UPS维保要求</w:t>
      </w:r>
    </w:p>
    <w:p>
      <w:pPr>
        <w:pStyle w:val="5"/>
        <w:spacing w:line="360" w:lineRule="auto"/>
        <w:ind w:left="420" w:leftChars="20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现有UPS设备分为2部分，校内监控中心包含UPS主机一台，品牌为柏克，型号为CHP3020,电池组1套，位置为学生服务中心2楼监控机房内，在断电的情况下为监控机房主要设备（存储、服务器，电视墙等）提供后备电源，保证机房主要设备正常运行。红蓝新村监控中心包含UPS主机一台，品牌为山特，电池组1套，地点为红蓝新村G栋1楼监控中心。</w:t>
      </w:r>
    </w:p>
    <w:p>
      <w:pPr>
        <w:pStyle w:val="5"/>
        <w:spacing w:line="360" w:lineRule="auto"/>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UPS维保要求：</w:t>
      </w:r>
    </w:p>
    <w:p>
      <w:pPr>
        <w:pStyle w:val="5"/>
        <w:spacing w:line="360" w:lineRule="auto"/>
        <w:ind w:left="420" w:leftChars="20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UPS故障，要求在24小时内定位故障原因。非硬件故障要求在24小时（已包含定位故障原因的时间）内恢复设备正常；硬件故障，由我校购买硬件后，维保单位负责安装和恢复设备正常。</w:t>
      </w:r>
    </w:p>
    <w:p>
      <w:pPr>
        <w:pStyle w:val="5"/>
        <w:numPr>
          <w:ilvl w:val="0"/>
          <w:numId w:val="27"/>
        </w:numPr>
        <w:spacing w:line="360" w:lineRule="auto"/>
        <w:rPr>
          <w:rFonts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电视墙设备的维保要求：</w:t>
      </w:r>
    </w:p>
    <w:p>
      <w:pPr>
        <w:pStyle w:val="5"/>
        <w:spacing w:line="360" w:lineRule="auto"/>
        <w:ind w:left="420" w:leftChars="200"/>
        <w:rPr>
          <w:rFonts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本次维保项目的电视墙显示设备分为2部分，校内监控中心主要包含46寸液晶电视机1台、26寸LCD液晶监视器12台和22寸液晶监视器2台，红蓝新村监控中心主要包括32寸液晶监视器8台，46寸液晶监视器1台。详情请参考《监控系统维保设备数量型号清单统计表》。</w:t>
      </w:r>
    </w:p>
    <w:p>
      <w:pPr>
        <w:pStyle w:val="5"/>
        <w:spacing w:line="360" w:lineRule="auto"/>
        <w:ind w:firstLine="420" w:firstLineChars="200"/>
        <w:rPr>
          <w:rFonts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电视墙设备的维保要求：</w:t>
      </w:r>
    </w:p>
    <w:p>
      <w:pPr>
        <w:pStyle w:val="5"/>
        <w:spacing w:line="360" w:lineRule="auto"/>
        <w:ind w:left="420" w:leftChars="200"/>
        <w:rPr>
          <w:rFonts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kern w:val="0"/>
          <w:sz w:val="21"/>
          <w:szCs w:val="21"/>
        </w:rPr>
        <w:t>监视器故障，要求在24小时内定位故障原因。非硬件故障要求在24小时（已包含定位故障原因的时间）内恢复设备正常；硬件故障，维保单位拆下后交由我校自行维修，维修完成后维保单位协助安装。</w:t>
      </w:r>
    </w:p>
    <w:p>
      <w:p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七．关于部分特殊维修情况的说明</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我校行政楼后体育场看台安装摄像机11支，其中音响控制室1支，看台楼顶10支；看台楼顶10支摄像机位置较高，由我校提供维修环境，中标单位负责维保。  </w:t>
      </w:r>
    </w:p>
    <w:p>
      <w:pPr>
        <w:spacing w:line="360" w:lineRule="auto"/>
        <w:rPr>
          <w:rFonts w:asciiTheme="minorEastAsia" w:hAnsiTheme="minorEastAsia" w:eastAsiaTheme="minorEastAsia" w:cstheme="minorEastAsia"/>
          <w:szCs w:val="21"/>
        </w:rPr>
      </w:pPr>
    </w:p>
    <w:p>
      <w:pPr>
        <w:spacing w:line="360" w:lineRule="auto"/>
        <w:rPr>
          <w:rStyle w:val="24"/>
          <w:rFonts w:ascii="宋体" w:hAnsi="宋体" w:cs="仿宋"/>
          <w:szCs w:val="21"/>
        </w:rPr>
      </w:pPr>
      <w:r>
        <w:rPr>
          <w:rFonts w:hint="eastAsia" w:asciiTheme="minorEastAsia" w:hAnsiTheme="minorEastAsia" w:eastAsiaTheme="minorEastAsia" w:cstheme="minorEastAsia"/>
          <w:b/>
          <w:bCs/>
          <w:szCs w:val="21"/>
        </w:rPr>
        <w:t>附件1：监控系统维保设备清单</w:t>
      </w:r>
    </w:p>
    <w:sectPr>
      <w:footerReference r:id="rId6" w:type="default"/>
      <w:pgSz w:w="11906" w:h="16838"/>
      <w:pgMar w:top="907" w:right="1588" w:bottom="851" w:left="1588" w:header="567"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Cambria">
    <w:panose1 w:val="02040503050406030204"/>
    <w:charset w:val="00"/>
    <w:family w:val="roman"/>
    <w:pitch w:val="default"/>
    <w:sig w:usb0="A00002EF" w:usb1="4000004B" w:usb2="00000000" w:usb3="00000000" w:csb0="2000009F"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9"/>
      </w:rPr>
    </w:pPr>
    <w:r>
      <w:rPr>
        <w:rStyle w:val="19"/>
      </w:rPr>
      <w:fldChar w:fldCharType="begin"/>
    </w:r>
    <w:r>
      <w:rPr>
        <w:rStyle w:val="19"/>
      </w:rPr>
      <w:instrText xml:space="preserve">PAGE  </w:instrText>
    </w:r>
    <w:r>
      <w:rPr>
        <w:rStyle w:val="19"/>
      </w:rP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ind w:right="360"/>
      <w:jc w:val="center"/>
    </w:pPr>
    <w:r>
      <w:fldChar w:fldCharType="begin"/>
    </w:r>
    <w:r>
      <w:instrText xml:space="preserve"> PAGE  \* MERGEFORMAT </w:instrText>
    </w:r>
    <w:r>
      <w:fldChar w:fldCharType="separate"/>
    </w:r>
    <w:r>
      <w:t>7</w:t>
    </w:r>
    <w:r>
      <w:fldChar w:fldCharType="end"/>
    </w:r>
    <w:r>
      <w:t>/</w:t>
    </w:r>
    <w:r>
      <w:fldChar w:fldCharType="begin"/>
    </w:r>
    <w:r>
      <w:instrText xml:space="preserve"> SECTIONPAGES  \* MERGEFORMAT </w:instrText>
    </w:r>
    <w:r>
      <w:fldChar w:fldCharType="separate"/>
    </w:r>
    <w:r>
      <w:t>12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rPr>
      <w:t>广东培正学院（</w:t>
    </w:r>
    <w:r>
      <w:t xml:space="preserve"> 20</w:t>
    </w:r>
    <w:r>
      <w:rPr>
        <w:rFonts w:hint="eastAsia"/>
      </w:rPr>
      <w:t>20</w:t>
    </w:r>
    <w:r>
      <w:rPr>
        <w:rFonts w:hint="eastAsia"/>
        <w:lang w:val="en-US" w:eastAsia="zh-CN"/>
      </w:rPr>
      <w:t>-2021</w:t>
    </w:r>
    <w:r>
      <w:t>年</w:t>
    </w:r>
    <w:r>
      <w:rPr>
        <w:rFonts w:hint="eastAsia"/>
      </w:rPr>
      <w:t xml:space="preserve">监控维保项目项目）竞争性谈判文件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306EF"/>
    <w:multiLevelType w:val="multilevel"/>
    <w:tmpl w:val="1AF306EF"/>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1C337C71"/>
    <w:multiLevelType w:val="multilevel"/>
    <w:tmpl w:val="1C337C71"/>
    <w:lvl w:ilvl="0" w:tentative="0">
      <w:start w:val="1"/>
      <w:numFmt w:val="decimal"/>
      <w:lvlText w:val="%1."/>
      <w:lvlJc w:val="left"/>
      <w:pPr>
        <w:tabs>
          <w:tab w:val="left" w:pos="567"/>
        </w:tabs>
        <w:ind w:left="567" w:hanging="454"/>
      </w:pPr>
      <w:rPr>
        <w:rFonts w:hint="eastAsia"/>
        <w:b/>
      </w:rPr>
    </w:lvl>
    <w:lvl w:ilvl="1" w:tentative="0">
      <w:start w:val="1"/>
      <w:numFmt w:val="decimal"/>
      <w:lvlText w:val="%1.%2."/>
      <w:lvlJc w:val="left"/>
      <w:pPr>
        <w:tabs>
          <w:tab w:val="left" w:pos="794"/>
        </w:tabs>
        <w:ind w:left="794" w:hanging="681"/>
      </w:pPr>
      <w:rPr>
        <w:rFonts w:hint="eastAsia" w:ascii="宋体" w:hAnsi="宋体" w:eastAsia="宋体"/>
        <w:color w:val="auto"/>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20743789"/>
    <w:multiLevelType w:val="multilevel"/>
    <w:tmpl w:val="20743789"/>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24882D2B"/>
    <w:multiLevelType w:val="multilevel"/>
    <w:tmpl w:val="24882D2B"/>
    <w:lvl w:ilvl="0" w:tentative="0">
      <w:start w:val="1"/>
      <w:numFmt w:val="decimal"/>
      <w:lvlText w:val="(%1)"/>
      <w:lvlJc w:val="left"/>
      <w:pPr>
        <w:tabs>
          <w:tab w:val="left" w:pos="794"/>
        </w:tabs>
        <w:ind w:left="794" w:hanging="567"/>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D1D7508"/>
    <w:multiLevelType w:val="multilevel"/>
    <w:tmpl w:val="2D1D7508"/>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5">
    <w:nsid w:val="366212EC"/>
    <w:multiLevelType w:val="multilevel"/>
    <w:tmpl w:val="366212EC"/>
    <w:lvl w:ilvl="0" w:tentative="0">
      <w:start w:val="1"/>
      <w:numFmt w:val="chineseCountingThousand"/>
      <w:lvlText w:val="%1、"/>
      <w:lvlJc w:val="left"/>
      <w:pPr>
        <w:tabs>
          <w:tab w:val="left" w:pos="397"/>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6BB5A41"/>
    <w:multiLevelType w:val="multilevel"/>
    <w:tmpl w:val="36BB5A41"/>
    <w:lvl w:ilvl="0" w:tentative="0">
      <w:start w:val="1"/>
      <w:numFmt w:val="chineseCountingThousand"/>
      <w:lvlText w:val="%1、"/>
      <w:lvlJc w:val="left"/>
      <w:pPr>
        <w:tabs>
          <w:tab w:val="left" w:pos="397"/>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2086315"/>
    <w:multiLevelType w:val="multilevel"/>
    <w:tmpl w:val="42086315"/>
    <w:lvl w:ilvl="0" w:tentative="0">
      <w:start w:val="1"/>
      <w:numFmt w:val="decimal"/>
      <w:lvlText w:val="(%1)"/>
      <w:lvlJc w:val="left"/>
      <w:pPr>
        <w:tabs>
          <w:tab w:val="left" w:pos="794"/>
        </w:tabs>
        <w:ind w:left="794" w:hanging="567"/>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7FB3247"/>
    <w:multiLevelType w:val="multilevel"/>
    <w:tmpl w:val="47FB3247"/>
    <w:lvl w:ilvl="0" w:tentative="0">
      <w:start w:val="1"/>
      <w:numFmt w:val="decimal"/>
      <w:lvlText w:val="(%1)"/>
      <w:lvlJc w:val="left"/>
      <w:pPr>
        <w:tabs>
          <w:tab w:val="left" w:pos="794"/>
        </w:tabs>
        <w:ind w:left="794" w:hanging="567"/>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B887415"/>
    <w:multiLevelType w:val="multilevel"/>
    <w:tmpl w:val="4B887415"/>
    <w:lvl w:ilvl="0" w:tentative="0">
      <w:start w:val="1"/>
      <w:numFmt w:val="decimal"/>
      <w:lvlText w:val="%1."/>
      <w:lvlJc w:val="left"/>
      <w:pPr>
        <w:ind w:left="425" w:hanging="425"/>
      </w:pPr>
      <w:rPr>
        <w:b/>
      </w:rPr>
    </w:lvl>
    <w:lvl w:ilvl="1" w:tentative="0">
      <w:start w:val="1"/>
      <w:numFmt w:val="decimal"/>
      <w:lvlText w:val="%1.%2."/>
      <w:lvlJc w:val="left"/>
      <w:pPr>
        <w:ind w:left="567" w:hanging="567"/>
      </w:pPr>
      <w:rPr>
        <w:rFonts w:ascii="宋体" w:hAnsi="宋体" w:eastAsia="宋体"/>
        <w:color w:val="auto"/>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0">
    <w:nsid w:val="4EE85044"/>
    <w:multiLevelType w:val="multilevel"/>
    <w:tmpl w:val="4EE8504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1">
    <w:nsid w:val="58002DB1"/>
    <w:multiLevelType w:val="singleLevel"/>
    <w:tmpl w:val="58002DB1"/>
    <w:lvl w:ilvl="0" w:tentative="0">
      <w:start w:val="1"/>
      <w:numFmt w:val="chineseCounting"/>
      <w:suff w:val="nothing"/>
      <w:lvlText w:val="%1．"/>
      <w:lvlJc w:val="left"/>
      <w:rPr>
        <w:rFonts w:cs="Times New Roman"/>
      </w:rPr>
    </w:lvl>
  </w:abstractNum>
  <w:abstractNum w:abstractNumId="12">
    <w:nsid w:val="580041FF"/>
    <w:multiLevelType w:val="singleLevel"/>
    <w:tmpl w:val="580041FF"/>
    <w:lvl w:ilvl="0" w:tentative="0">
      <w:start w:val="1"/>
      <w:numFmt w:val="lowerLetter"/>
      <w:lvlText w:val="%1."/>
      <w:lvlJc w:val="left"/>
      <w:pPr>
        <w:ind w:left="425" w:hanging="425"/>
      </w:pPr>
      <w:rPr>
        <w:rFonts w:hint="default"/>
      </w:rPr>
    </w:lvl>
  </w:abstractNum>
  <w:abstractNum w:abstractNumId="13">
    <w:nsid w:val="5800492C"/>
    <w:multiLevelType w:val="singleLevel"/>
    <w:tmpl w:val="5800492C"/>
    <w:lvl w:ilvl="0" w:tentative="0">
      <w:start w:val="1"/>
      <w:numFmt w:val="decimalEnclosedCircleChinese"/>
      <w:suff w:val="nothing"/>
      <w:lvlText w:val="%1　"/>
      <w:lvlJc w:val="left"/>
      <w:pPr>
        <w:ind w:left="0" w:firstLine="400"/>
      </w:pPr>
      <w:rPr>
        <w:rFonts w:hint="eastAsia"/>
      </w:rPr>
    </w:lvl>
  </w:abstractNum>
  <w:abstractNum w:abstractNumId="14">
    <w:nsid w:val="58007D05"/>
    <w:multiLevelType w:val="singleLevel"/>
    <w:tmpl w:val="58007D05"/>
    <w:lvl w:ilvl="0" w:tentative="0">
      <w:start w:val="1"/>
      <w:numFmt w:val="decimal"/>
      <w:lvlText w:val="%1)"/>
      <w:lvlJc w:val="left"/>
      <w:pPr>
        <w:ind w:left="425" w:hanging="425"/>
      </w:pPr>
      <w:rPr>
        <w:rFonts w:hint="default"/>
      </w:rPr>
    </w:lvl>
  </w:abstractNum>
  <w:abstractNum w:abstractNumId="15">
    <w:nsid w:val="58042870"/>
    <w:multiLevelType w:val="singleLevel"/>
    <w:tmpl w:val="58042870"/>
    <w:lvl w:ilvl="0" w:tentative="0">
      <w:start w:val="1"/>
      <w:numFmt w:val="bullet"/>
      <w:lvlText w:val=""/>
      <w:lvlJc w:val="left"/>
      <w:pPr>
        <w:ind w:left="420" w:hanging="420"/>
      </w:pPr>
      <w:rPr>
        <w:rFonts w:hint="default" w:ascii="Wingdings" w:hAnsi="Wingdings"/>
      </w:rPr>
    </w:lvl>
  </w:abstractNum>
  <w:abstractNum w:abstractNumId="16">
    <w:nsid w:val="58042884"/>
    <w:multiLevelType w:val="singleLevel"/>
    <w:tmpl w:val="58042884"/>
    <w:lvl w:ilvl="0" w:tentative="0">
      <w:start w:val="1"/>
      <w:numFmt w:val="bullet"/>
      <w:lvlText w:val=""/>
      <w:lvlJc w:val="left"/>
      <w:pPr>
        <w:ind w:left="420" w:hanging="420"/>
      </w:pPr>
      <w:rPr>
        <w:rFonts w:hint="default" w:ascii="Wingdings" w:hAnsi="Wingdings"/>
      </w:rPr>
    </w:lvl>
  </w:abstractNum>
  <w:abstractNum w:abstractNumId="17">
    <w:nsid w:val="5804289C"/>
    <w:multiLevelType w:val="singleLevel"/>
    <w:tmpl w:val="5804289C"/>
    <w:lvl w:ilvl="0" w:tentative="0">
      <w:start w:val="1"/>
      <w:numFmt w:val="bullet"/>
      <w:lvlText w:val=""/>
      <w:lvlJc w:val="left"/>
      <w:pPr>
        <w:ind w:left="420" w:hanging="420"/>
      </w:pPr>
      <w:rPr>
        <w:rFonts w:hint="default" w:ascii="Wingdings" w:hAnsi="Wingdings"/>
      </w:rPr>
    </w:lvl>
  </w:abstractNum>
  <w:abstractNum w:abstractNumId="18">
    <w:nsid w:val="580428B3"/>
    <w:multiLevelType w:val="singleLevel"/>
    <w:tmpl w:val="580428B3"/>
    <w:lvl w:ilvl="0" w:tentative="0">
      <w:start w:val="1"/>
      <w:numFmt w:val="bullet"/>
      <w:lvlText w:val=""/>
      <w:lvlJc w:val="left"/>
      <w:pPr>
        <w:ind w:left="420" w:hanging="420"/>
      </w:pPr>
      <w:rPr>
        <w:rFonts w:hint="default" w:ascii="Wingdings" w:hAnsi="Wingdings"/>
      </w:rPr>
    </w:lvl>
  </w:abstractNum>
  <w:abstractNum w:abstractNumId="19">
    <w:nsid w:val="580428C6"/>
    <w:multiLevelType w:val="singleLevel"/>
    <w:tmpl w:val="580428C6"/>
    <w:lvl w:ilvl="0" w:tentative="0">
      <w:start w:val="1"/>
      <w:numFmt w:val="bullet"/>
      <w:lvlText w:val=""/>
      <w:lvlJc w:val="left"/>
      <w:pPr>
        <w:ind w:left="420" w:hanging="420"/>
      </w:pPr>
      <w:rPr>
        <w:rFonts w:hint="default" w:ascii="Wingdings" w:hAnsi="Wingdings"/>
      </w:rPr>
    </w:lvl>
  </w:abstractNum>
  <w:abstractNum w:abstractNumId="20">
    <w:nsid w:val="5804457B"/>
    <w:multiLevelType w:val="singleLevel"/>
    <w:tmpl w:val="5804457B"/>
    <w:lvl w:ilvl="0" w:tentative="0">
      <w:start w:val="6"/>
      <w:numFmt w:val="chineseCounting"/>
      <w:suff w:val="nothing"/>
      <w:lvlText w:val="%1．"/>
      <w:lvlJc w:val="left"/>
      <w:rPr>
        <w:rFonts w:cs="Times New Roman"/>
      </w:rPr>
    </w:lvl>
  </w:abstractNum>
  <w:abstractNum w:abstractNumId="21">
    <w:nsid w:val="5A0A03B5"/>
    <w:multiLevelType w:val="multilevel"/>
    <w:tmpl w:val="5A0A03B5"/>
    <w:lvl w:ilvl="0" w:tentative="0">
      <w:start w:val="1"/>
      <w:numFmt w:val="decimal"/>
      <w:lvlText w:val="%1."/>
      <w:lvlJc w:val="left"/>
      <w:pPr>
        <w:tabs>
          <w:tab w:val="left" w:pos="567"/>
        </w:tabs>
        <w:ind w:left="567" w:hanging="454"/>
      </w:pPr>
      <w:rPr>
        <w:rFonts w:hint="eastAsia"/>
        <w:b/>
      </w:rPr>
    </w:lvl>
    <w:lvl w:ilvl="1" w:tentative="0">
      <w:start w:val="1"/>
      <w:numFmt w:val="decimal"/>
      <w:lvlText w:val="%1.%2."/>
      <w:lvlJc w:val="left"/>
      <w:pPr>
        <w:tabs>
          <w:tab w:val="left" w:pos="794"/>
        </w:tabs>
        <w:ind w:left="794" w:hanging="681"/>
      </w:pPr>
      <w:rPr>
        <w:rFonts w:hint="eastAsia" w:ascii="宋体" w:hAnsi="宋体" w:eastAsia="宋体"/>
        <w:color w:val="auto"/>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2">
    <w:nsid w:val="61C16563"/>
    <w:multiLevelType w:val="multilevel"/>
    <w:tmpl w:val="61C16563"/>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3">
    <w:nsid w:val="63C25EE9"/>
    <w:multiLevelType w:val="multilevel"/>
    <w:tmpl w:val="63C25EE9"/>
    <w:lvl w:ilvl="0" w:tentative="0">
      <w:start w:val="1"/>
      <w:numFmt w:val="bullet"/>
      <w:lvlText w:val=""/>
      <w:lvlJc w:val="left"/>
      <w:pPr>
        <w:ind w:left="700" w:hanging="420"/>
      </w:pPr>
      <w:rPr>
        <w:rFonts w:hint="default" w:ascii="Wingdings" w:hAnsi="Wingdings"/>
      </w:rPr>
    </w:lvl>
    <w:lvl w:ilvl="1" w:tentative="0">
      <w:start w:val="1"/>
      <w:numFmt w:val="bullet"/>
      <w:lvlText w:val=""/>
      <w:lvlJc w:val="left"/>
      <w:pPr>
        <w:ind w:left="1120" w:hanging="420"/>
      </w:pPr>
      <w:rPr>
        <w:rFonts w:hint="default" w:ascii="Wingdings" w:hAnsi="Wingdings"/>
      </w:rPr>
    </w:lvl>
    <w:lvl w:ilvl="2" w:tentative="0">
      <w:start w:val="1"/>
      <w:numFmt w:val="bullet"/>
      <w:lvlText w:val=""/>
      <w:lvlJc w:val="left"/>
      <w:pPr>
        <w:ind w:left="1540" w:hanging="420"/>
      </w:pPr>
      <w:rPr>
        <w:rFonts w:hint="default" w:ascii="Wingdings" w:hAnsi="Wingdings"/>
      </w:rPr>
    </w:lvl>
    <w:lvl w:ilvl="3" w:tentative="0">
      <w:start w:val="1"/>
      <w:numFmt w:val="bullet"/>
      <w:lvlText w:val=""/>
      <w:lvlJc w:val="left"/>
      <w:pPr>
        <w:ind w:left="1960" w:hanging="420"/>
      </w:pPr>
      <w:rPr>
        <w:rFonts w:hint="default" w:ascii="Wingdings" w:hAnsi="Wingdings"/>
      </w:rPr>
    </w:lvl>
    <w:lvl w:ilvl="4" w:tentative="0">
      <w:start w:val="1"/>
      <w:numFmt w:val="bullet"/>
      <w:lvlText w:val=""/>
      <w:lvlJc w:val="left"/>
      <w:pPr>
        <w:ind w:left="2380" w:hanging="420"/>
      </w:pPr>
      <w:rPr>
        <w:rFonts w:hint="default" w:ascii="Wingdings" w:hAnsi="Wingdings"/>
      </w:rPr>
    </w:lvl>
    <w:lvl w:ilvl="5" w:tentative="0">
      <w:start w:val="1"/>
      <w:numFmt w:val="bullet"/>
      <w:lvlText w:val=""/>
      <w:lvlJc w:val="left"/>
      <w:pPr>
        <w:ind w:left="2800" w:hanging="420"/>
      </w:pPr>
      <w:rPr>
        <w:rFonts w:hint="default" w:ascii="Wingdings" w:hAnsi="Wingdings"/>
      </w:rPr>
    </w:lvl>
    <w:lvl w:ilvl="6" w:tentative="0">
      <w:start w:val="1"/>
      <w:numFmt w:val="bullet"/>
      <w:lvlText w:val=""/>
      <w:lvlJc w:val="left"/>
      <w:pPr>
        <w:ind w:left="3220" w:hanging="420"/>
      </w:pPr>
      <w:rPr>
        <w:rFonts w:hint="default" w:ascii="Wingdings" w:hAnsi="Wingdings"/>
      </w:rPr>
    </w:lvl>
    <w:lvl w:ilvl="7" w:tentative="0">
      <w:start w:val="1"/>
      <w:numFmt w:val="bullet"/>
      <w:lvlText w:val=""/>
      <w:lvlJc w:val="left"/>
      <w:pPr>
        <w:ind w:left="3640" w:hanging="420"/>
      </w:pPr>
      <w:rPr>
        <w:rFonts w:hint="default" w:ascii="Wingdings" w:hAnsi="Wingdings"/>
      </w:rPr>
    </w:lvl>
    <w:lvl w:ilvl="8" w:tentative="0">
      <w:start w:val="1"/>
      <w:numFmt w:val="bullet"/>
      <w:lvlText w:val=""/>
      <w:lvlJc w:val="left"/>
      <w:pPr>
        <w:ind w:left="4060" w:hanging="420"/>
      </w:pPr>
      <w:rPr>
        <w:rFonts w:hint="default" w:ascii="Wingdings" w:hAnsi="Wingdings"/>
      </w:rPr>
    </w:lvl>
  </w:abstractNum>
  <w:abstractNum w:abstractNumId="24">
    <w:nsid w:val="65FE0697"/>
    <w:multiLevelType w:val="multilevel"/>
    <w:tmpl w:val="65FE0697"/>
    <w:lvl w:ilvl="0" w:tentative="0">
      <w:start w:val="1"/>
      <w:numFmt w:val="decimal"/>
      <w:lvlText w:val="%1."/>
      <w:lvlJc w:val="left"/>
      <w:pPr>
        <w:ind w:left="425" w:hanging="425"/>
      </w:pPr>
      <w:rPr>
        <w:b/>
      </w:rPr>
    </w:lvl>
    <w:lvl w:ilvl="1" w:tentative="0">
      <w:start w:val="1"/>
      <w:numFmt w:val="decimal"/>
      <w:lvlText w:val="%1.%2."/>
      <w:lvlJc w:val="left"/>
      <w:pPr>
        <w:ind w:left="567" w:hanging="567"/>
      </w:pPr>
      <w:rPr>
        <w:rFonts w:ascii="宋体" w:hAnsi="宋体" w:eastAsia="宋体"/>
        <w:color w:val="auto"/>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5">
    <w:nsid w:val="79C30669"/>
    <w:multiLevelType w:val="multilevel"/>
    <w:tmpl w:val="79C30669"/>
    <w:lvl w:ilvl="0" w:tentative="0">
      <w:start w:val="1"/>
      <w:numFmt w:val="decimal"/>
      <w:lvlText w:val="%1."/>
      <w:lvlJc w:val="left"/>
      <w:pPr>
        <w:tabs>
          <w:tab w:val="left" w:pos="567"/>
        </w:tabs>
        <w:ind w:left="567" w:hanging="454"/>
      </w:pPr>
      <w:rPr>
        <w:rFonts w:hint="eastAsia"/>
        <w:b/>
      </w:rPr>
    </w:lvl>
    <w:lvl w:ilvl="1" w:tentative="0">
      <w:start w:val="1"/>
      <w:numFmt w:val="decimal"/>
      <w:lvlText w:val="%1.%2."/>
      <w:lvlJc w:val="left"/>
      <w:pPr>
        <w:tabs>
          <w:tab w:val="left" w:pos="794"/>
        </w:tabs>
        <w:ind w:left="794" w:hanging="681"/>
      </w:pPr>
      <w:rPr>
        <w:rFonts w:hint="eastAsia" w:ascii="宋体" w:hAnsi="宋体" w:eastAsia="宋体"/>
        <w:color w:val="auto"/>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6">
    <w:nsid w:val="7D253B3E"/>
    <w:multiLevelType w:val="multilevel"/>
    <w:tmpl w:val="7D253B3E"/>
    <w:lvl w:ilvl="0" w:tentative="0">
      <w:start w:val="1"/>
      <w:numFmt w:val="decimal"/>
      <w:lvlText w:val="%1."/>
      <w:lvlJc w:val="left"/>
      <w:pPr>
        <w:tabs>
          <w:tab w:val="left" w:pos="567"/>
        </w:tabs>
        <w:ind w:left="567" w:hanging="454"/>
      </w:pPr>
      <w:rPr>
        <w:rFonts w:hint="eastAsia"/>
        <w:b/>
      </w:rPr>
    </w:lvl>
    <w:lvl w:ilvl="1" w:tentative="0">
      <w:start w:val="1"/>
      <w:numFmt w:val="decimal"/>
      <w:lvlText w:val="%1.%2."/>
      <w:lvlJc w:val="left"/>
      <w:pPr>
        <w:tabs>
          <w:tab w:val="left" w:pos="794"/>
        </w:tabs>
        <w:ind w:left="794" w:hanging="681"/>
      </w:pPr>
      <w:rPr>
        <w:rFonts w:hint="eastAsia" w:ascii="宋体" w:hAnsi="宋体" w:eastAsia="宋体"/>
        <w:color w:val="auto"/>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26"/>
  </w:num>
  <w:num w:numId="2">
    <w:abstractNumId w:val="4"/>
  </w:num>
  <w:num w:numId="3">
    <w:abstractNumId w:val="2"/>
  </w:num>
  <w:num w:numId="4">
    <w:abstractNumId w:val="22"/>
  </w:num>
  <w:num w:numId="5">
    <w:abstractNumId w:val="0"/>
  </w:num>
  <w:num w:numId="6">
    <w:abstractNumId w:val="6"/>
  </w:num>
  <w:num w:numId="7">
    <w:abstractNumId w:val="25"/>
  </w:num>
  <w:num w:numId="8">
    <w:abstractNumId w:val="24"/>
  </w:num>
  <w:num w:numId="9">
    <w:abstractNumId w:val="8"/>
  </w:num>
  <w:num w:numId="10">
    <w:abstractNumId w:val="9"/>
  </w:num>
  <w:num w:numId="11">
    <w:abstractNumId w:val="10"/>
  </w:num>
  <w:num w:numId="12">
    <w:abstractNumId w:val="3"/>
  </w:num>
  <w:num w:numId="13">
    <w:abstractNumId w:val="7"/>
  </w:num>
  <w:num w:numId="14">
    <w:abstractNumId w:val="5"/>
  </w:num>
  <w:num w:numId="15">
    <w:abstractNumId w:val="1"/>
  </w:num>
  <w:num w:numId="16">
    <w:abstractNumId w:val="21"/>
  </w:num>
  <w:num w:numId="17">
    <w:abstractNumId w:val="11"/>
  </w:num>
  <w:num w:numId="18">
    <w:abstractNumId w:val="15"/>
  </w:num>
  <w:num w:numId="19">
    <w:abstractNumId w:val="16"/>
  </w:num>
  <w:num w:numId="20">
    <w:abstractNumId w:val="17"/>
  </w:num>
  <w:num w:numId="21">
    <w:abstractNumId w:val="18"/>
  </w:num>
  <w:num w:numId="22">
    <w:abstractNumId w:val="19"/>
  </w:num>
  <w:num w:numId="23">
    <w:abstractNumId w:val="23"/>
  </w:num>
  <w:num w:numId="24">
    <w:abstractNumId w:val="13"/>
  </w:num>
  <w:num w:numId="25">
    <w:abstractNumId w:val="12"/>
  </w:num>
  <w:num w:numId="26">
    <w:abstractNumId w:val="1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96966"/>
    <w:rsid w:val="000002A5"/>
    <w:rsid w:val="00000C49"/>
    <w:rsid w:val="000035EE"/>
    <w:rsid w:val="000048A7"/>
    <w:rsid w:val="00004AB1"/>
    <w:rsid w:val="000062F2"/>
    <w:rsid w:val="00006556"/>
    <w:rsid w:val="000065E1"/>
    <w:rsid w:val="00007080"/>
    <w:rsid w:val="00007C91"/>
    <w:rsid w:val="00010DDA"/>
    <w:rsid w:val="000110B3"/>
    <w:rsid w:val="00011B69"/>
    <w:rsid w:val="0001297B"/>
    <w:rsid w:val="0001531B"/>
    <w:rsid w:val="00016234"/>
    <w:rsid w:val="00017676"/>
    <w:rsid w:val="00021746"/>
    <w:rsid w:val="00021A71"/>
    <w:rsid w:val="0002201B"/>
    <w:rsid w:val="0002209D"/>
    <w:rsid w:val="000224D1"/>
    <w:rsid w:val="00022815"/>
    <w:rsid w:val="00022AFC"/>
    <w:rsid w:val="00022BAA"/>
    <w:rsid w:val="00023A02"/>
    <w:rsid w:val="00023D6A"/>
    <w:rsid w:val="00024127"/>
    <w:rsid w:val="00025493"/>
    <w:rsid w:val="000271CC"/>
    <w:rsid w:val="0002794F"/>
    <w:rsid w:val="00030C57"/>
    <w:rsid w:val="00031FF0"/>
    <w:rsid w:val="00033FBD"/>
    <w:rsid w:val="000346F6"/>
    <w:rsid w:val="00034DA1"/>
    <w:rsid w:val="00036496"/>
    <w:rsid w:val="00036D13"/>
    <w:rsid w:val="00037D41"/>
    <w:rsid w:val="00040464"/>
    <w:rsid w:val="000420AB"/>
    <w:rsid w:val="000443DE"/>
    <w:rsid w:val="000443E6"/>
    <w:rsid w:val="00045B2C"/>
    <w:rsid w:val="00046171"/>
    <w:rsid w:val="00046320"/>
    <w:rsid w:val="00046554"/>
    <w:rsid w:val="00047D74"/>
    <w:rsid w:val="00047F38"/>
    <w:rsid w:val="000511C0"/>
    <w:rsid w:val="00051B21"/>
    <w:rsid w:val="000525C9"/>
    <w:rsid w:val="00052C38"/>
    <w:rsid w:val="00052D8C"/>
    <w:rsid w:val="00052EBC"/>
    <w:rsid w:val="00052F91"/>
    <w:rsid w:val="00053495"/>
    <w:rsid w:val="000536DB"/>
    <w:rsid w:val="000544EF"/>
    <w:rsid w:val="00055372"/>
    <w:rsid w:val="000567D1"/>
    <w:rsid w:val="00062D9D"/>
    <w:rsid w:val="000638AC"/>
    <w:rsid w:val="000640E3"/>
    <w:rsid w:val="00064C7C"/>
    <w:rsid w:val="0006549F"/>
    <w:rsid w:val="000656AC"/>
    <w:rsid w:val="00067B3E"/>
    <w:rsid w:val="00070265"/>
    <w:rsid w:val="00070738"/>
    <w:rsid w:val="0007085E"/>
    <w:rsid w:val="0007124B"/>
    <w:rsid w:val="00074481"/>
    <w:rsid w:val="00075803"/>
    <w:rsid w:val="00075804"/>
    <w:rsid w:val="00075B0E"/>
    <w:rsid w:val="0007670E"/>
    <w:rsid w:val="000770D5"/>
    <w:rsid w:val="000812CA"/>
    <w:rsid w:val="000827CE"/>
    <w:rsid w:val="000848BB"/>
    <w:rsid w:val="00084A67"/>
    <w:rsid w:val="000861BB"/>
    <w:rsid w:val="000866BF"/>
    <w:rsid w:val="00086C8E"/>
    <w:rsid w:val="000901D0"/>
    <w:rsid w:val="00090214"/>
    <w:rsid w:val="000903A3"/>
    <w:rsid w:val="00090D9C"/>
    <w:rsid w:val="00090EED"/>
    <w:rsid w:val="000923DE"/>
    <w:rsid w:val="000935F9"/>
    <w:rsid w:val="00093875"/>
    <w:rsid w:val="0009399A"/>
    <w:rsid w:val="00093F30"/>
    <w:rsid w:val="000957C3"/>
    <w:rsid w:val="000962B4"/>
    <w:rsid w:val="000971A6"/>
    <w:rsid w:val="0009724C"/>
    <w:rsid w:val="00097C6D"/>
    <w:rsid w:val="000A056A"/>
    <w:rsid w:val="000A2A55"/>
    <w:rsid w:val="000A49B9"/>
    <w:rsid w:val="000A4BD7"/>
    <w:rsid w:val="000A55E2"/>
    <w:rsid w:val="000A6975"/>
    <w:rsid w:val="000A6E9F"/>
    <w:rsid w:val="000A7676"/>
    <w:rsid w:val="000B082E"/>
    <w:rsid w:val="000B1599"/>
    <w:rsid w:val="000B1AAC"/>
    <w:rsid w:val="000B34BD"/>
    <w:rsid w:val="000B35CA"/>
    <w:rsid w:val="000B3621"/>
    <w:rsid w:val="000B383F"/>
    <w:rsid w:val="000B413C"/>
    <w:rsid w:val="000B4228"/>
    <w:rsid w:val="000B42E2"/>
    <w:rsid w:val="000B4FAB"/>
    <w:rsid w:val="000B54D5"/>
    <w:rsid w:val="000B6DDE"/>
    <w:rsid w:val="000B719B"/>
    <w:rsid w:val="000B7ACC"/>
    <w:rsid w:val="000C1AFE"/>
    <w:rsid w:val="000C1E4F"/>
    <w:rsid w:val="000C3CB4"/>
    <w:rsid w:val="000C3EDD"/>
    <w:rsid w:val="000C4E11"/>
    <w:rsid w:val="000C5008"/>
    <w:rsid w:val="000C5D8B"/>
    <w:rsid w:val="000D0225"/>
    <w:rsid w:val="000D0227"/>
    <w:rsid w:val="000D06AD"/>
    <w:rsid w:val="000D0FC6"/>
    <w:rsid w:val="000D1BFA"/>
    <w:rsid w:val="000D2617"/>
    <w:rsid w:val="000D414B"/>
    <w:rsid w:val="000D5676"/>
    <w:rsid w:val="000D5729"/>
    <w:rsid w:val="000D5AC8"/>
    <w:rsid w:val="000D5B07"/>
    <w:rsid w:val="000D6034"/>
    <w:rsid w:val="000E1719"/>
    <w:rsid w:val="000E2025"/>
    <w:rsid w:val="000E39AE"/>
    <w:rsid w:val="000E4219"/>
    <w:rsid w:val="000E60D2"/>
    <w:rsid w:val="000E6B99"/>
    <w:rsid w:val="000E7D27"/>
    <w:rsid w:val="000E7FDD"/>
    <w:rsid w:val="000F0AB6"/>
    <w:rsid w:val="000F14B4"/>
    <w:rsid w:val="000F16B3"/>
    <w:rsid w:val="000F1D96"/>
    <w:rsid w:val="000F1F34"/>
    <w:rsid w:val="000F2A3A"/>
    <w:rsid w:val="000F2CCB"/>
    <w:rsid w:val="000F3270"/>
    <w:rsid w:val="000F3510"/>
    <w:rsid w:val="000F3C51"/>
    <w:rsid w:val="000F58BE"/>
    <w:rsid w:val="000F626F"/>
    <w:rsid w:val="000F76E6"/>
    <w:rsid w:val="001018A6"/>
    <w:rsid w:val="00102AD3"/>
    <w:rsid w:val="00102CE7"/>
    <w:rsid w:val="00103102"/>
    <w:rsid w:val="0010413C"/>
    <w:rsid w:val="00107735"/>
    <w:rsid w:val="00107F87"/>
    <w:rsid w:val="0011038C"/>
    <w:rsid w:val="0011047E"/>
    <w:rsid w:val="00110D69"/>
    <w:rsid w:val="00111409"/>
    <w:rsid w:val="00111620"/>
    <w:rsid w:val="0011559E"/>
    <w:rsid w:val="0011603E"/>
    <w:rsid w:val="001166E8"/>
    <w:rsid w:val="00120F16"/>
    <w:rsid w:val="00121CA7"/>
    <w:rsid w:val="001221A8"/>
    <w:rsid w:val="001255EC"/>
    <w:rsid w:val="00125E61"/>
    <w:rsid w:val="00126205"/>
    <w:rsid w:val="00127117"/>
    <w:rsid w:val="00127213"/>
    <w:rsid w:val="00127893"/>
    <w:rsid w:val="00130242"/>
    <w:rsid w:val="00130EBC"/>
    <w:rsid w:val="0013290D"/>
    <w:rsid w:val="00133E7D"/>
    <w:rsid w:val="00134972"/>
    <w:rsid w:val="00134D05"/>
    <w:rsid w:val="001355E8"/>
    <w:rsid w:val="00136AF3"/>
    <w:rsid w:val="00137719"/>
    <w:rsid w:val="00137971"/>
    <w:rsid w:val="001403E9"/>
    <w:rsid w:val="00140F3F"/>
    <w:rsid w:val="00141D74"/>
    <w:rsid w:val="0014282C"/>
    <w:rsid w:val="00142EDD"/>
    <w:rsid w:val="00143F8F"/>
    <w:rsid w:val="00144D02"/>
    <w:rsid w:val="00144EC3"/>
    <w:rsid w:val="001451C4"/>
    <w:rsid w:val="001458B9"/>
    <w:rsid w:val="001458BF"/>
    <w:rsid w:val="00145F69"/>
    <w:rsid w:val="00146097"/>
    <w:rsid w:val="00146E9F"/>
    <w:rsid w:val="0014758A"/>
    <w:rsid w:val="00150071"/>
    <w:rsid w:val="001504C1"/>
    <w:rsid w:val="0015068C"/>
    <w:rsid w:val="00150AB5"/>
    <w:rsid w:val="00150F1C"/>
    <w:rsid w:val="00151480"/>
    <w:rsid w:val="00151D3B"/>
    <w:rsid w:val="00153741"/>
    <w:rsid w:val="0015377C"/>
    <w:rsid w:val="00154114"/>
    <w:rsid w:val="001549D3"/>
    <w:rsid w:val="001563B7"/>
    <w:rsid w:val="00156FBA"/>
    <w:rsid w:val="001572B7"/>
    <w:rsid w:val="00157D35"/>
    <w:rsid w:val="00161A57"/>
    <w:rsid w:val="00161AF9"/>
    <w:rsid w:val="00162B2D"/>
    <w:rsid w:val="00164049"/>
    <w:rsid w:val="00165CF7"/>
    <w:rsid w:val="00167417"/>
    <w:rsid w:val="001706CC"/>
    <w:rsid w:val="00170B87"/>
    <w:rsid w:val="00172014"/>
    <w:rsid w:val="00173DCF"/>
    <w:rsid w:val="001751C8"/>
    <w:rsid w:val="001754EE"/>
    <w:rsid w:val="00177455"/>
    <w:rsid w:val="00182F8B"/>
    <w:rsid w:val="0018367D"/>
    <w:rsid w:val="001840E8"/>
    <w:rsid w:val="00184C65"/>
    <w:rsid w:val="001852F8"/>
    <w:rsid w:val="00185965"/>
    <w:rsid w:val="00186822"/>
    <w:rsid w:val="00187A87"/>
    <w:rsid w:val="001905E9"/>
    <w:rsid w:val="001909E7"/>
    <w:rsid w:val="00191386"/>
    <w:rsid w:val="001918B0"/>
    <w:rsid w:val="001920F7"/>
    <w:rsid w:val="001923CF"/>
    <w:rsid w:val="001938FF"/>
    <w:rsid w:val="00194623"/>
    <w:rsid w:val="00194B2C"/>
    <w:rsid w:val="00195FA6"/>
    <w:rsid w:val="00195FF2"/>
    <w:rsid w:val="001967DD"/>
    <w:rsid w:val="00196C1D"/>
    <w:rsid w:val="00196C6F"/>
    <w:rsid w:val="00196D61"/>
    <w:rsid w:val="001974A0"/>
    <w:rsid w:val="00197A78"/>
    <w:rsid w:val="001A01FA"/>
    <w:rsid w:val="001A1351"/>
    <w:rsid w:val="001A1FC9"/>
    <w:rsid w:val="001A261B"/>
    <w:rsid w:val="001A2851"/>
    <w:rsid w:val="001A46AB"/>
    <w:rsid w:val="001A5EF3"/>
    <w:rsid w:val="001A6C58"/>
    <w:rsid w:val="001A7DEE"/>
    <w:rsid w:val="001B04AA"/>
    <w:rsid w:val="001B06F1"/>
    <w:rsid w:val="001B093B"/>
    <w:rsid w:val="001B1604"/>
    <w:rsid w:val="001B2E98"/>
    <w:rsid w:val="001B40CE"/>
    <w:rsid w:val="001B43DD"/>
    <w:rsid w:val="001B44D0"/>
    <w:rsid w:val="001B5434"/>
    <w:rsid w:val="001B5445"/>
    <w:rsid w:val="001B63D4"/>
    <w:rsid w:val="001B669D"/>
    <w:rsid w:val="001B6E61"/>
    <w:rsid w:val="001B7143"/>
    <w:rsid w:val="001C0293"/>
    <w:rsid w:val="001C0A2C"/>
    <w:rsid w:val="001C1FD8"/>
    <w:rsid w:val="001C2D5F"/>
    <w:rsid w:val="001C489A"/>
    <w:rsid w:val="001C51CB"/>
    <w:rsid w:val="001C56E7"/>
    <w:rsid w:val="001C5804"/>
    <w:rsid w:val="001C6458"/>
    <w:rsid w:val="001C7F1C"/>
    <w:rsid w:val="001D0A42"/>
    <w:rsid w:val="001D4073"/>
    <w:rsid w:val="001D4AF7"/>
    <w:rsid w:val="001D52FA"/>
    <w:rsid w:val="001D59DB"/>
    <w:rsid w:val="001D62DA"/>
    <w:rsid w:val="001D64DF"/>
    <w:rsid w:val="001D66E8"/>
    <w:rsid w:val="001D7BB7"/>
    <w:rsid w:val="001E07D1"/>
    <w:rsid w:val="001E08A1"/>
    <w:rsid w:val="001E1F79"/>
    <w:rsid w:val="001E2426"/>
    <w:rsid w:val="001E385B"/>
    <w:rsid w:val="001E3AAD"/>
    <w:rsid w:val="001E4433"/>
    <w:rsid w:val="001E550D"/>
    <w:rsid w:val="001E567C"/>
    <w:rsid w:val="001E596D"/>
    <w:rsid w:val="001E5DF2"/>
    <w:rsid w:val="001E77E8"/>
    <w:rsid w:val="001F0DB3"/>
    <w:rsid w:val="001F1E9A"/>
    <w:rsid w:val="001F35A8"/>
    <w:rsid w:val="001F387A"/>
    <w:rsid w:val="001F3B6D"/>
    <w:rsid w:val="001F443F"/>
    <w:rsid w:val="001F5D4C"/>
    <w:rsid w:val="001F5FA1"/>
    <w:rsid w:val="001F5FFA"/>
    <w:rsid w:val="001F66D8"/>
    <w:rsid w:val="001F710F"/>
    <w:rsid w:val="00202449"/>
    <w:rsid w:val="00202FE5"/>
    <w:rsid w:val="00203380"/>
    <w:rsid w:val="00203634"/>
    <w:rsid w:val="0020499A"/>
    <w:rsid w:val="002056BC"/>
    <w:rsid w:val="00211B41"/>
    <w:rsid w:val="00212690"/>
    <w:rsid w:val="002134EF"/>
    <w:rsid w:val="00213771"/>
    <w:rsid w:val="0021548E"/>
    <w:rsid w:val="002158B1"/>
    <w:rsid w:val="00215A08"/>
    <w:rsid w:val="002165BE"/>
    <w:rsid w:val="00216679"/>
    <w:rsid w:val="00220236"/>
    <w:rsid w:val="002202BA"/>
    <w:rsid w:val="002204D7"/>
    <w:rsid w:val="00220BA4"/>
    <w:rsid w:val="00221A8B"/>
    <w:rsid w:val="002242A8"/>
    <w:rsid w:val="002242B6"/>
    <w:rsid w:val="002307A0"/>
    <w:rsid w:val="00230ADD"/>
    <w:rsid w:val="0023149D"/>
    <w:rsid w:val="00231DAD"/>
    <w:rsid w:val="00233190"/>
    <w:rsid w:val="00233CD7"/>
    <w:rsid w:val="00236859"/>
    <w:rsid w:val="00236D7C"/>
    <w:rsid w:val="00237EA2"/>
    <w:rsid w:val="0024038F"/>
    <w:rsid w:val="00240D32"/>
    <w:rsid w:val="002410CB"/>
    <w:rsid w:val="00243074"/>
    <w:rsid w:val="00245D6A"/>
    <w:rsid w:val="00246687"/>
    <w:rsid w:val="00246A87"/>
    <w:rsid w:val="00246D7A"/>
    <w:rsid w:val="00247694"/>
    <w:rsid w:val="00247B83"/>
    <w:rsid w:val="00251E53"/>
    <w:rsid w:val="00251E96"/>
    <w:rsid w:val="00252218"/>
    <w:rsid w:val="0025278A"/>
    <w:rsid w:val="00253482"/>
    <w:rsid w:val="002536D6"/>
    <w:rsid w:val="00254128"/>
    <w:rsid w:val="0025452F"/>
    <w:rsid w:val="002549B5"/>
    <w:rsid w:val="002555CF"/>
    <w:rsid w:val="00255C6E"/>
    <w:rsid w:val="00256B3F"/>
    <w:rsid w:val="002572F4"/>
    <w:rsid w:val="00260340"/>
    <w:rsid w:val="002611B1"/>
    <w:rsid w:val="00261DFC"/>
    <w:rsid w:val="00262199"/>
    <w:rsid w:val="00263020"/>
    <w:rsid w:val="00263AB1"/>
    <w:rsid w:val="002654FD"/>
    <w:rsid w:val="002663BF"/>
    <w:rsid w:val="00266CB8"/>
    <w:rsid w:val="0026765D"/>
    <w:rsid w:val="00267DD1"/>
    <w:rsid w:val="00270A35"/>
    <w:rsid w:val="00271AFC"/>
    <w:rsid w:val="002721E7"/>
    <w:rsid w:val="0027282D"/>
    <w:rsid w:val="00273211"/>
    <w:rsid w:val="002739A7"/>
    <w:rsid w:val="00273D84"/>
    <w:rsid w:val="00274244"/>
    <w:rsid w:val="00275246"/>
    <w:rsid w:val="00275BB0"/>
    <w:rsid w:val="00275D8C"/>
    <w:rsid w:val="00276F37"/>
    <w:rsid w:val="0027729F"/>
    <w:rsid w:val="00277E11"/>
    <w:rsid w:val="00282F96"/>
    <w:rsid w:val="00283430"/>
    <w:rsid w:val="00283F04"/>
    <w:rsid w:val="00284D47"/>
    <w:rsid w:val="002856CF"/>
    <w:rsid w:val="00285B49"/>
    <w:rsid w:val="00285F37"/>
    <w:rsid w:val="00287095"/>
    <w:rsid w:val="002876A0"/>
    <w:rsid w:val="002918F5"/>
    <w:rsid w:val="00291FA4"/>
    <w:rsid w:val="002923D1"/>
    <w:rsid w:val="00293826"/>
    <w:rsid w:val="00293C98"/>
    <w:rsid w:val="00293FA0"/>
    <w:rsid w:val="002944B1"/>
    <w:rsid w:val="0029775A"/>
    <w:rsid w:val="002A0D9C"/>
    <w:rsid w:val="002A1699"/>
    <w:rsid w:val="002A6932"/>
    <w:rsid w:val="002A6D59"/>
    <w:rsid w:val="002A6E4F"/>
    <w:rsid w:val="002A6F9D"/>
    <w:rsid w:val="002B0BB6"/>
    <w:rsid w:val="002B1DDB"/>
    <w:rsid w:val="002B2206"/>
    <w:rsid w:val="002B2613"/>
    <w:rsid w:val="002B2BDF"/>
    <w:rsid w:val="002B3D2A"/>
    <w:rsid w:val="002B47D9"/>
    <w:rsid w:val="002B47E7"/>
    <w:rsid w:val="002B4A85"/>
    <w:rsid w:val="002B52DD"/>
    <w:rsid w:val="002B744E"/>
    <w:rsid w:val="002C0631"/>
    <w:rsid w:val="002C2AF6"/>
    <w:rsid w:val="002C2B3B"/>
    <w:rsid w:val="002C2FEE"/>
    <w:rsid w:val="002C74DE"/>
    <w:rsid w:val="002C7AF3"/>
    <w:rsid w:val="002D01B6"/>
    <w:rsid w:val="002D02C1"/>
    <w:rsid w:val="002D0973"/>
    <w:rsid w:val="002D2106"/>
    <w:rsid w:val="002D296E"/>
    <w:rsid w:val="002D3802"/>
    <w:rsid w:val="002D480C"/>
    <w:rsid w:val="002D4B5A"/>
    <w:rsid w:val="002D5991"/>
    <w:rsid w:val="002D5C82"/>
    <w:rsid w:val="002D64D4"/>
    <w:rsid w:val="002E022E"/>
    <w:rsid w:val="002E5CF7"/>
    <w:rsid w:val="002E61C1"/>
    <w:rsid w:val="002E7B84"/>
    <w:rsid w:val="002F07D2"/>
    <w:rsid w:val="002F15B7"/>
    <w:rsid w:val="002F1B10"/>
    <w:rsid w:val="002F2670"/>
    <w:rsid w:val="002F2D86"/>
    <w:rsid w:val="002F4077"/>
    <w:rsid w:val="002F55FB"/>
    <w:rsid w:val="002F5C4B"/>
    <w:rsid w:val="002F6B10"/>
    <w:rsid w:val="002F6D87"/>
    <w:rsid w:val="002F6DCA"/>
    <w:rsid w:val="002F7485"/>
    <w:rsid w:val="00300590"/>
    <w:rsid w:val="00300CC6"/>
    <w:rsid w:val="003029F6"/>
    <w:rsid w:val="00302C1A"/>
    <w:rsid w:val="00303198"/>
    <w:rsid w:val="00303B7D"/>
    <w:rsid w:val="00304166"/>
    <w:rsid w:val="00306614"/>
    <w:rsid w:val="00310163"/>
    <w:rsid w:val="00310348"/>
    <w:rsid w:val="00310F4C"/>
    <w:rsid w:val="00311DE9"/>
    <w:rsid w:val="003126B8"/>
    <w:rsid w:val="00313E39"/>
    <w:rsid w:val="003140FA"/>
    <w:rsid w:val="00314436"/>
    <w:rsid w:val="00314726"/>
    <w:rsid w:val="00314DB7"/>
    <w:rsid w:val="003151EF"/>
    <w:rsid w:val="00315F1E"/>
    <w:rsid w:val="00316468"/>
    <w:rsid w:val="00320725"/>
    <w:rsid w:val="00320A5A"/>
    <w:rsid w:val="00320A78"/>
    <w:rsid w:val="00322ACE"/>
    <w:rsid w:val="00323398"/>
    <w:rsid w:val="00324916"/>
    <w:rsid w:val="0032519D"/>
    <w:rsid w:val="00327272"/>
    <w:rsid w:val="00330F9A"/>
    <w:rsid w:val="0033102F"/>
    <w:rsid w:val="003318F8"/>
    <w:rsid w:val="0033194E"/>
    <w:rsid w:val="003319C0"/>
    <w:rsid w:val="00331A5B"/>
    <w:rsid w:val="00331D35"/>
    <w:rsid w:val="00332B31"/>
    <w:rsid w:val="00332D8C"/>
    <w:rsid w:val="0033331E"/>
    <w:rsid w:val="00333320"/>
    <w:rsid w:val="003336C1"/>
    <w:rsid w:val="0033388C"/>
    <w:rsid w:val="00333DA4"/>
    <w:rsid w:val="00333DA9"/>
    <w:rsid w:val="00333EDE"/>
    <w:rsid w:val="00334923"/>
    <w:rsid w:val="0033571E"/>
    <w:rsid w:val="00335CD3"/>
    <w:rsid w:val="0033646C"/>
    <w:rsid w:val="00336826"/>
    <w:rsid w:val="00336B4F"/>
    <w:rsid w:val="00337ED1"/>
    <w:rsid w:val="0034031B"/>
    <w:rsid w:val="003409C2"/>
    <w:rsid w:val="00341375"/>
    <w:rsid w:val="00342309"/>
    <w:rsid w:val="003429F1"/>
    <w:rsid w:val="00343614"/>
    <w:rsid w:val="003439C2"/>
    <w:rsid w:val="00343B10"/>
    <w:rsid w:val="00344BF0"/>
    <w:rsid w:val="003453FA"/>
    <w:rsid w:val="00345B23"/>
    <w:rsid w:val="00347D14"/>
    <w:rsid w:val="00351333"/>
    <w:rsid w:val="003546CF"/>
    <w:rsid w:val="00354C9C"/>
    <w:rsid w:val="003561C7"/>
    <w:rsid w:val="00357003"/>
    <w:rsid w:val="00360613"/>
    <w:rsid w:val="003615D2"/>
    <w:rsid w:val="00361DB6"/>
    <w:rsid w:val="003630BB"/>
    <w:rsid w:val="00363441"/>
    <w:rsid w:val="00363510"/>
    <w:rsid w:val="00363A77"/>
    <w:rsid w:val="003640CD"/>
    <w:rsid w:val="00367FB3"/>
    <w:rsid w:val="00370C67"/>
    <w:rsid w:val="003720A5"/>
    <w:rsid w:val="00372848"/>
    <w:rsid w:val="00372CBC"/>
    <w:rsid w:val="0037481C"/>
    <w:rsid w:val="0037489B"/>
    <w:rsid w:val="0037554F"/>
    <w:rsid w:val="00376059"/>
    <w:rsid w:val="00376970"/>
    <w:rsid w:val="00381B2A"/>
    <w:rsid w:val="003829F8"/>
    <w:rsid w:val="00382CA8"/>
    <w:rsid w:val="003836FA"/>
    <w:rsid w:val="003842F0"/>
    <w:rsid w:val="00386520"/>
    <w:rsid w:val="00387280"/>
    <w:rsid w:val="00387F83"/>
    <w:rsid w:val="00390372"/>
    <w:rsid w:val="00390F26"/>
    <w:rsid w:val="003918FE"/>
    <w:rsid w:val="0039250B"/>
    <w:rsid w:val="00392D66"/>
    <w:rsid w:val="00392FBD"/>
    <w:rsid w:val="00395B4F"/>
    <w:rsid w:val="0039618F"/>
    <w:rsid w:val="0039689F"/>
    <w:rsid w:val="003970FA"/>
    <w:rsid w:val="0039728D"/>
    <w:rsid w:val="003A1668"/>
    <w:rsid w:val="003A1CE5"/>
    <w:rsid w:val="003A2378"/>
    <w:rsid w:val="003A2883"/>
    <w:rsid w:val="003A2F68"/>
    <w:rsid w:val="003A4445"/>
    <w:rsid w:val="003A506F"/>
    <w:rsid w:val="003A5519"/>
    <w:rsid w:val="003A5A8C"/>
    <w:rsid w:val="003A5ECA"/>
    <w:rsid w:val="003A62F4"/>
    <w:rsid w:val="003A63C7"/>
    <w:rsid w:val="003A75DD"/>
    <w:rsid w:val="003A7FC8"/>
    <w:rsid w:val="003B05E1"/>
    <w:rsid w:val="003B1CED"/>
    <w:rsid w:val="003B1EED"/>
    <w:rsid w:val="003B25D5"/>
    <w:rsid w:val="003B2D48"/>
    <w:rsid w:val="003B2DAB"/>
    <w:rsid w:val="003B340B"/>
    <w:rsid w:val="003B3E7F"/>
    <w:rsid w:val="003B44FE"/>
    <w:rsid w:val="003B4919"/>
    <w:rsid w:val="003B53E8"/>
    <w:rsid w:val="003B5BE7"/>
    <w:rsid w:val="003B5EC0"/>
    <w:rsid w:val="003B6415"/>
    <w:rsid w:val="003B6753"/>
    <w:rsid w:val="003B7009"/>
    <w:rsid w:val="003C0919"/>
    <w:rsid w:val="003C0F0D"/>
    <w:rsid w:val="003C1BA9"/>
    <w:rsid w:val="003C3701"/>
    <w:rsid w:val="003C3717"/>
    <w:rsid w:val="003C477E"/>
    <w:rsid w:val="003C49EB"/>
    <w:rsid w:val="003C4B28"/>
    <w:rsid w:val="003C4B30"/>
    <w:rsid w:val="003C4D70"/>
    <w:rsid w:val="003C5FF0"/>
    <w:rsid w:val="003C69EB"/>
    <w:rsid w:val="003C704F"/>
    <w:rsid w:val="003C76BC"/>
    <w:rsid w:val="003C79E7"/>
    <w:rsid w:val="003D0C97"/>
    <w:rsid w:val="003D2C8F"/>
    <w:rsid w:val="003D333B"/>
    <w:rsid w:val="003D3FE7"/>
    <w:rsid w:val="003D5C7E"/>
    <w:rsid w:val="003D61F4"/>
    <w:rsid w:val="003E074C"/>
    <w:rsid w:val="003E0B23"/>
    <w:rsid w:val="003E1CAE"/>
    <w:rsid w:val="003E21D9"/>
    <w:rsid w:val="003E2C87"/>
    <w:rsid w:val="003E3844"/>
    <w:rsid w:val="003E3948"/>
    <w:rsid w:val="003E420A"/>
    <w:rsid w:val="003E4385"/>
    <w:rsid w:val="003E46E3"/>
    <w:rsid w:val="003E614E"/>
    <w:rsid w:val="003F0262"/>
    <w:rsid w:val="003F0E46"/>
    <w:rsid w:val="003F14DC"/>
    <w:rsid w:val="003F18DA"/>
    <w:rsid w:val="003F363E"/>
    <w:rsid w:val="003F36AD"/>
    <w:rsid w:val="003F4650"/>
    <w:rsid w:val="003F4C3F"/>
    <w:rsid w:val="003F70E9"/>
    <w:rsid w:val="004009A3"/>
    <w:rsid w:val="00400B5F"/>
    <w:rsid w:val="00401EF8"/>
    <w:rsid w:val="00402022"/>
    <w:rsid w:val="00402BFE"/>
    <w:rsid w:val="00404183"/>
    <w:rsid w:val="004041F1"/>
    <w:rsid w:val="0040485D"/>
    <w:rsid w:val="0040553F"/>
    <w:rsid w:val="00405E4C"/>
    <w:rsid w:val="004060B0"/>
    <w:rsid w:val="00407225"/>
    <w:rsid w:val="004077EF"/>
    <w:rsid w:val="00407C7E"/>
    <w:rsid w:val="00407CAA"/>
    <w:rsid w:val="00411021"/>
    <w:rsid w:val="00411D87"/>
    <w:rsid w:val="00412CE6"/>
    <w:rsid w:val="0041411D"/>
    <w:rsid w:val="004141F2"/>
    <w:rsid w:val="004148C4"/>
    <w:rsid w:val="004151E6"/>
    <w:rsid w:val="004203F1"/>
    <w:rsid w:val="004218AC"/>
    <w:rsid w:val="00427CBC"/>
    <w:rsid w:val="0043000B"/>
    <w:rsid w:val="00431092"/>
    <w:rsid w:val="004311D9"/>
    <w:rsid w:val="004337A7"/>
    <w:rsid w:val="00433C0C"/>
    <w:rsid w:val="00433C69"/>
    <w:rsid w:val="00434289"/>
    <w:rsid w:val="00436641"/>
    <w:rsid w:val="00440D2A"/>
    <w:rsid w:val="00441B5D"/>
    <w:rsid w:val="004422F1"/>
    <w:rsid w:val="00442366"/>
    <w:rsid w:val="0044268E"/>
    <w:rsid w:val="0044425B"/>
    <w:rsid w:val="004451B8"/>
    <w:rsid w:val="004453BA"/>
    <w:rsid w:val="004460A3"/>
    <w:rsid w:val="00446768"/>
    <w:rsid w:val="00446B24"/>
    <w:rsid w:val="004477E2"/>
    <w:rsid w:val="00447ABD"/>
    <w:rsid w:val="00447CDA"/>
    <w:rsid w:val="00452452"/>
    <w:rsid w:val="00453930"/>
    <w:rsid w:val="004541C5"/>
    <w:rsid w:val="004557E9"/>
    <w:rsid w:val="00455F62"/>
    <w:rsid w:val="004574CB"/>
    <w:rsid w:val="00457B05"/>
    <w:rsid w:val="00457D32"/>
    <w:rsid w:val="00462023"/>
    <w:rsid w:val="00462528"/>
    <w:rsid w:val="004628A0"/>
    <w:rsid w:val="004631B9"/>
    <w:rsid w:val="00465F3A"/>
    <w:rsid w:val="004673FC"/>
    <w:rsid w:val="004707B5"/>
    <w:rsid w:val="00472590"/>
    <w:rsid w:val="00472B85"/>
    <w:rsid w:val="00473767"/>
    <w:rsid w:val="00475CB6"/>
    <w:rsid w:val="00475DCC"/>
    <w:rsid w:val="004769E5"/>
    <w:rsid w:val="00476DFD"/>
    <w:rsid w:val="0047743C"/>
    <w:rsid w:val="00480548"/>
    <w:rsid w:val="0048080F"/>
    <w:rsid w:val="004808AD"/>
    <w:rsid w:val="004823C6"/>
    <w:rsid w:val="0048349A"/>
    <w:rsid w:val="0048408C"/>
    <w:rsid w:val="004851F7"/>
    <w:rsid w:val="00490DEF"/>
    <w:rsid w:val="00491102"/>
    <w:rsid w:val="00491650"/>
    <w:rsid w:val="00491F3E"/>
    <w:rsid w:val="0049261D"/>
    <w:rsid w:val="00492B2A"/>
    <w:rsid w:val="0049301B"/>
    <w:rsid w:val="004930A4"/>
    <w:rsid w:val="00493404"/>
    <w:rsid w:val="0049455C"/>
    <w:rsid w:val="0049580B"/>
    <w:rsid w:val="004959AC"/>
    <w:rsid w:val="00495A67"/>
    <w:rsid w:val="004979D5"/>
    <w:rsid w:val="004A10FC"/>
    <w:rsid w:val="004A1201"/>
    <w:rsid w:val="004A1B1E"/>
    <w:rsid w:val="004A20C5"/>
    <w:rsid w:val="004A2BC7"/>
    <w:rsid w:val="004A415F"/>
    <w:rsid w:val="004A47F2"/>
    <w:rsid w:val="004A4B00"/>
    <w:rsid w:val="004A6EAF"/>
    <w:rsid w:val="004B0C27"/>
    <w:rsid w:val="004B14C4"/>
    <w:rsid w:val="004B1701"/>
    <w:rsid w:val="004B2CB8"/>
    <w:rsid w:val="004B461C"/>
    <w:rsid w:val="004B5D9C"/>
    <w:rsid w:val="004B68B9"/>
    <w:rsid w:val="004C130B"/>
    <w:rsid w:val="004C135A"/>
    <w:rsid w:val="004C14C0"/>
    <w:rsid w:val="004C24A1"/>
    <w:rsid w:val="004C3D11"/>
    <w:rsid w:val="004C40B1"/>
    <w:rsid w:val="004C5149"/>
    <w:rsid w:val="004C5445"/>
    <w:rsid w:val="004C5F9D"/>
    <w:rsid w:val="004C7386"/>
    <w:rsid w:val="004D09E0"/>
    <w:rsid w:val="004D1319"/>
    <w:rsid w:val="004D2BB9"/>
    <w:rsid w:val="004D2C3D"/>
    <w:rsid w:val="004D3849"/>
    <w:rsid w:val="004D682E"/>
    <w:rsid w:val="004D6E27"/>
    <w:rsid w:val="004D6FAC"/>
    <w:rsid w:val="004D6FD1"/>
    <w:rsid w:val="004D7A99"/>
    <w:rsid w:val="004E1345"/>
    <w:rsid w:val="004E1A63"/>
    <w:rsid w:val="004E1D28"/>
    <w:rsid w:val="004E2435"/>
    <w:rsid w:val="004E6396"/>
    <w:rsid w:val="004E7954"/>
    <w:rsid w:val="004F48CA"/>
    <w:rsid w:val="004F7FDE"/>
    <w:rsid w:val="0050002C"/>
    <w:rsid w:val="00500088"/>
    <w:rsid w:val="00500B93"/>
    <w:rsid w:val="005013B5"/>
    <w:rsid w:val="00501748"/>
    <w:rsid w:val="00501F11"/>
    <w:rsid w:val="0050278C"/>
    <w:rsid w:val="00502F74"/>
    <w:rsid w:val="00503452"/>
    <w:rsid w:val="00504AED"/>
    <w:rsid w:val="00505331"/>
    <w:rsid w:val="0050546C"/>
    <w:rsid w:val="00505FA9"/>
    <w:rsid w:val="005064D1"/>
    <w:rsid w:val="00507DB2"/>
    <w:rsid w:val="0051026A"/>
    <w:rsid w:val="005116AA"/>
    <w:rsid w:val="005125E8"/>
    <w:rsid w:val="00512B40"/>
    <w:rsid w:val="00513298"/>
    <w:rsid w:val="00514389"/>
    <w:rsid w:val="005150F6"/>
    <w:rsid w:val="0051522B"/>
    <w:rsid w:val="00515586"/>
    <w:rsid w:val="00517075"/>
    <w:rsid w:val="0051731F"/>
    <w:rsid w:val="00517348"/>
    <w:rsid w:val="00517563"/>
    <w:rsid w:val="00522097"/>
    <w:rsid w:val="00522565"/>
    <w:rsid w:val="00522BED"/>
    <w:rsid w:val="00523CFB"/>
    <w:rsid w:val="00524B39"/>
    <w:rsid w:val="0052580A"/>
    <w:rsid w:val="00526DB4"/>
    <w:rsid w:val="0052781C"/>
    <w:rsid w:val="00527A33"/>
    <w:rsid w:val="005308CF"/>
    <w:rsid w:val="00532392"/>
    <w:rsid w:val="00532A14"/>
    <w:rsid w:val="0053302F"/>
    <w:rsid w:val="0053516F"/>
    <w:rsid w:val="00535602"/>
    <w:rsid w:val="00535F92"/>
    <w:rsid w:val="0053660D"/>
    <w:rsid w:val="00540175"/>
    <w:rsid w:val="00540DDC"/>
    <w:rsid w:val="00541E20"/>
    <w:rsid w:val="00545393"/>
    <w:rsid w:val="00545944"/>
    <w:rsid w:val="005471B4"/>
    <w:rsid w:val="00551F45"/>
    <w:rsid w:val="00551F6F"/>
    <w:rsid w:val="005550E2"/>
    <w:rsid w:val="00555275"/>
    <w:rsid w:val="00555450"/>
    <w:rsid w:val="00555C52"/>
    <w:rsid w:val="00555C90"/>
    <w:rsid w:val="00555D2D"/>
    <w:rsid w:val="0055663A"/>
    <w:rsid w:val="00557AE3"/>
    <w:rsid w:val="0056101F"/>
    <w:rsid w:val="005611E1"/>
    <w:rsid w:val="00561A10"/>
    <w:rsid w:val="00563719"/>
    <w:rsid w:val="005645D5"/>
    <w:rsid w:val="0056547F"/>
    <w:rsid w:val="005677A4"/>
    <w:rsid w:val="00567A80"/>
    <w:rsid w:val="005703FC"/>
    <w:rsid w:val="005704C4"/>
    <w:rsid w:val="0057094E"/>
    <w:rsid w:val="00571EC9"/>
    <w:rsid w:val="0057272D"/>
    <w:rsid w:val="00572CCD"/>
    <w:rsid w:val="005732C9"/>
    <w:rsid w:val="00574DC5"/>
    <w:rsid w:val="005770B3"/>
    <w:rsid w:val="00580214"/>
    <w:rsid w:val="00581E10"/>
    <w:rsid w:val="0058269F"/>
    <w:rsid w:val="005835A2"/>
    <w:rsid w:val="0058413A"/>
    <w:rsid w:val="005850C4"/>
    <w:rsid w:val="0058539C"/>
    <w:rsid w:val="005865F7"/>
    <w:rsid w:val="00586DFC"/>
    <w:rsid w:val="00586E28"/>
    <w:rsid w:val="00587104"/>
    <w:rsid w:val="005878D0"/>
    <w:rsid w:val="00590081"/>
    <w:rsid w:val="00590E51"/>
    <w:rsid w:val="0059359E"/>
    <w:rsid w:val="00594522"/>
    <w:rsid w:val="00595167"/>
    <w:rsid w:val="00595E6D"/>
    <w:rsid w:val="00596966"/>
    <w:rsid w:val="005974C4"/>
    <w:rsid w:val="005977D2"/>
    <w:rsid w:val="005A0452"/>
    <w:rsid w:val="005A2244"/>
    <w:rsid w:val="005A26BC"/>
    <w:rsid w:val="005A2D2A"/>
    <w:rsid w:val="005A43C2"/>
    <w:rsid w:val="005A4B8B"/>
    <w:rsid w:val="005A57BA"/>
    <w:rsid w:val="005A5D75"/>
    <w:rsid w:val="005A652C"/>
    <w:rsid w:val="005A6980"/>
    <w:rsid w:val="005A6DA0"/>
    <w:rsid w:val="005A70E7"/>
    <w:rsid w:val="005A7D7D"/>
    <w:rsid w:val="005A7EE5"/>
    <w:rsid w:val="005B0C9F"/>
    <w:rsid w:val="005B1185"/>
    <w:rsid w:val="005B28F9"/>
    <w:rsid w:val="005B2E4F"/>
    <w:rsid w:val="005B4851"/>
    <w:rsid w:val="005B53AF"/>
    <w:rsid w:val="005B577E"/>
    <w:rsid w:val="005B598C"/>
    <w:rsid w:val="005B6450"/>
    <w:rsid w:val="005B6903"/>
    <w:rsid w:val="005B6B26"/>
    <w:rsid w:val="005B7AE5"/>
    <w:rsid w:val="005C0E6E"/>
    <w:rsid w:val="005C16B6"/>
    <w:rsid w:val="005C2208"/>
    <w:rsid w:val="005C3700"/>
    <w:rsid w:val="005C3C19"/>
    <w:rsid w:val="005C3C5E"/>
    <w:rsid w:val="005C6ED3"/>
    <w:rsid w:val="005D06ED"/>
    <w:rsid w:val="005D2CA2"/>
    <w:rsid w:val="005D4033"/>
    <w:rsid w:val="005D6FFA"/>
    <w:rsid w:val="005E1290"/>
    <w:rsid w:val="005E1573"/>
    <w:rsid w:val="005E1698"/>
    <w:rsid w:val="005E3FAB"/>
    <w:rsid w:val="005E63CE"/>
    <w:rsid w:val="005E6996"/>
    <w:rsid w:val="005E6F3C"/>
    <w:rsid w:val="005E7480"/>
    <w:rsid w:val="005F0659"/>
    <w:rsid w:val="005F068B"/>
    <w:rsid w:val="005F1222"/>
    <w:rsid w:val="005F1841"/>
    <w:rsid w:val="005F3C32"/>
    <w:rsid w:val="005F4525"/>
    <w:rsid w:val="005F60DF"/>
    <w:rsid w:val="005F7C44"/>
    <w:rsid w:val="00600930"/>
    <w:rsid w:val="006014B7"/>
    <w:rsid w:val="00604645"/>
    <w:rsid w:val="0060569D"/>
    <w:rsid w:val="00606CEC"/>
    <w:rsid w:val="00607A37"/>
    <w:rsid w:val="00611102"/>
    <w:rsid w:val="006128A7"/>
    <w:rsid w:val="006134FC"/>
    <w:rsid w:val="006138AA"/>
    <w:rsid w:val="006141B8"/>
    <w:rsid w:val="00614EAF"/>
    <w:rsid w:val="00614FAB"/>
    <w:rsid w:val="00615910"/>
    <w:rsid w:val="00616247"/>
    <w:rsid w:val="0061665A"/>
    <w:rsid w:val="00617CD8"/>
    <w:rsid w:val="00620BC8"/>
    <w:rsid w:val="006222AB"/>
    <w:rsid w:val="00624E2F"/>
    <w:rsid w:val="006252B7"/>
    <w:rsid w:val="00627159"/>
    <w:rsid w:val="00627D2A"/>
    <w:rsid w:val="00630B0E"/>
    <w:rsid w:val="00630F68"/>
    <w:rsid w:val="006316FA"/>
    <w:rsid w:val="00634517"/>
    <w:rsid w:val="00634DD9"/>
    <w:rsid w:val="006355AB"/>
    <w:rsid w:val="00635ED4"/>
    <w:rsid w:val="00636396"/>
    <w:rsid w:val="0063779F"/>
    <w:rsid w:val="006377EA"/>
    <w:rsid w:val="00637D80"/>
    <w:rsid w:val="006408B4"/>
    <w:rsid w:val="00640F3A"/>
    <w:rsid w:val="00640F6F"/>
    <w:rsid w:val="006414A6"/>
    <w:rsid w:val="006417AB"/>
    <w:rsid w:val="00644142"/>
    <w:rsid w:val="00644CC9"/>
    <w:rsid w:val="00644EAD"/>
    <w:rsid w:val="00645556"/>
    <w:rsid w:val="006477EF"/>
    <w:rsid w:val="0065004C"/>
    <w:rsid w:val="00650335"/>
    <w:rsid w:val="00650625"/>
    <w:rsid w:val="006510A5"/>
    <w:rsid w:val="006522AB"/>
    <w:rsid w:val="0065230C"/>
    <w:rsid w:val="0065234A"/>
    <w:rsid w:val="0065562E"/>
    <w:rsid w:val="006618FC"/>
    <w:rsid w:val="00661FE6"/>
    <w:rsid w:val="006622E8"/>
    <w:rsid w:val="00663593"/>
    <w:rsid w:val="00664031"/>
    <w:rsid w:val="0066481A"/>
    <w:rsid w:val="0066680B"/>
    <w:rsid w:val="0066680D"/>
    <w:rsid w:val="00666C60"/>
    <w:rsid w:val="00666DBF"/>
    <w:rsid w:val="00667402"/>
    <w:rsid w:val="00667918"/>
    <w:rsid w:val="0066791F"/>
    <w:rsid w:val="0067038B"/>
    <w:rsid w:val="00671214"/>
    <w:rsid w:val="00671EBE"/>
    <w:rsid w:val="006723E6"/>
    <w:rsid w:val="0067300C"/>
    <w:rsid w:val="006735EF"/>
    <w:rsid w:val="00673F58"/>
    <w:rsid w:val="00674418"/>
    <w:rsid w:val="0067449C"/>
    <w:rsid w:val="006747FC"/>
    <w:rsid w:val="006758F9"/>
    <w:rsid w:val="006759CE"/>
    <w:rsid w:val="00675FC1"/>
    <w:rsid w:val="006762FD"/>
    <w:rsid w:val="00676AEA"/>
    <w:rsid w:val="00677A34"/>
    <w:rsid w:val="00680A93"/>
    <w:rsid w:val="00680DAF"/>
    <w:rsid w:val="006817AB"/>
    <w:rsid w:val="0068192E"/>
    <w:rsid w:val="006833E6"/>
    <w:rsid w:val="006847AC"/>
    <w:rsid w:val="0068512E"/>
    <w:rsid w:val="00685A93"/>
    <w:rsid w:val="006862A6"/>
    <w:rsid w:val="00691286"/>
    <w:rsid w:val="006915DD"/>
    <w:rsid w:val="00692816"/>
    <w:rsid w:val="00693D2E"/>
    <w:rsid w:val="0069526F"/>
    <w:rsid w:val="00695683"/>
    <w:rsid w:val="00695871"/>
    <w:rsid w:val="00695BFF"/>
    <w:rsid w:val="0069773F"/>
    <w:rsid w:val="00697B26"/>
    <w:rsid w:val="006A03A6"/>
    <w:rsid w:val="006A0DD1"/>
    <w:rsid w:val="006A12D0"/>
    <w:rsid w:val="006A1718"/>
    <w:rsid w:val="006A1E1C"/>
    <w:rsid w:val="006A22FD"/>
    <w:rsid w:val="006A2DA5"/>
    <w:rsid w:val="006A355C"/>
    <w:rsid w:val="006A358C"/>
    <w:rsid w:val="006A4252"/>
    <w:rsid w:val="006A488E"/>
    <w:rsid w:val="006A74E4"/>
    <w:rsid w:val="006B1BE8"/>
    <w:rsid w:val="006B21EE"/>
    <w:rsid w:val="006B269C"/>
    <w:rsid w:val="006B3589"/>
    <w:rsid w:val="006B452F"/>
    <w:rsid w:val="006B5276"/>
    <w:rsid w:val="006B58AA"/>
    <w:rsid w:val="006B5BCE"/>
    <w:rsid w:val="006B620B"/>
    <w:rsid w:val="006B75F8"/>
    <w:rsid w:val="006C04D8"/>
    <w:rsid w:val="006C13CB"/>
    <w:rsid w:val="006C335B"/>
    <w:rsid w:val="006C46A6"/>
    <w:rsid w:val="006C7F2B"/>
    <w:rsid w:val="006D030F"/>
    <w:rsid w:val="006D0490"/>
    <w:rsid w:val="006D19C9"/>
    <w:rsid w:val="006D2A51"/>
    <w:rsid w:val="006D329D"/>
    <w:rsid w:val="006D3429"/>
    <w:rsid w:val="006D5439"/>
    <w:rsid w:val="006D68B0"/>
    <w:rsid w:val="006D7350"/>
    <w:rsid w:val="006D75E7"/>
    <w:rsid w:val="006E0334"/>
    <w:rsid w:val="006E0839"/>
    <w:rsid w:val="006E0B52"/>
    <w:rsid w:val="006E0BE1"/>
    <w:rsid w:val="006E14DF"/>
    <w:rsid w:val="006E1595"/>
    <w:rsid w:val="006E2EC5"/>
    <w:rsid w:val="006E37E8"/>
    <w:rsid w:val="006E5F8F"/>
    <w:rsid w:val="006E6B4E"/>
    <w:rsid w:val="006F0189"/>
    <w:rsid w:val="006F0D80"/>
    <w:rsid w:val="006F10B1"/>
    <w:rsid w:val="006F129C"/>
    <w:rsid w:val="006F2544"/>
    <w:rsid w:val="006F261B"/>
    <w:rsid w:val="006F40F6"/>
    <w:rsid w:val="006F432B"/>
    <w:rsid w:val="006F45EF"/>
    <w:rsid w:val="006F465A"/>
    <w:rsid w:val="006F5E51"/>
    <w:rsid w:val="006F708E"/>
    <w:rsid w:val="006F71C4"/>
    <w:rsid w:val="00702EB0"/>
    <w:rsid w:val="00703A32"/>
    <w:rsid w:val="0070425B"/>
    <w:rsid w:val="0070431B"/>
    <w:rsid w:val="007048A1"/>
    <w:rsid w:val="00704E42"/>
    <w:rsid w:val="00705227"/>
    <w:rsid w:val="0070541F"/>
    <w:rsid w:val="00705B88"/>
    <w:rsid w:val="00706650"/>
    <w:rsid w:val="00706923"/>
    <w:rsid w:val="007109A2"/>
    <w:rsid w:val="00712499"/>
    <w:rsid w:val="00712568"/>
    <w:rsid w:val="00713161"/>
    <w:rsid w:val="0071421A"/>
    <w:rsid w:val="00715706"/>
    <w:rsid w:val="0071598B"/>
    <w:rsid w:val="00716146"/>
    <w:rsid w:val="00716E47"/>
    <w:rsid w:val="00721601"/>
    <w:rsid w:val="00722395"/>
    <w:rsid w:val="007240F3"/>
    <w:rsid w:val="00724226"/>
    <w:rsid w:val="0072536C"/>
    <w:rsid w:val="00727850"/>
    <w:rsid w:val="00730943"/>
    <w:rsid w:val="00730A13"/>
    <w:rsid w:val="00731B42"/>
    <w:rsid w:val="00731E6D"/>
    <w:rsid w:val="00732359"/>
    <w:rsid w:val="00732F49"/>
    <w:rsid w:val="0073371E"/>
    <w:rsid w:val="007342EF"/>
    <w:rsid w:val="00734651"/>
    <w:rsid w:val="007363A9"/>
    <w:rsid w:val="0073744A"/>
    <w:rsid w:val="007376ED"/>
    <w:rsid w:val="007378E5"/>
    <w:rsid w:val="00737F0E"/>
    <w:rsid w:val="007411A5"/>
    <w:rsid w:val="0074188D"/>
    <w:rsid w:val="007423EC"/>
    <w:rsid w:val="00743409"/>
    <w:rsid w:val="00743898"/>
    <w:rsid w:val="00744C3D"/>
    <w:rsid w:val="00747050"/>
    <w:rsid w:val="007522AF"/>
    <w:rsid w:val="00752A01"/>
    <w:rsid w:val="00752CE2"/>
    <w:rsid w:val="00752E67"/>
    <w:rsid w:val="00753146"/>
    <w:rsid w:val="0075353D"/>
    <w:rsid w:val="00753916"/>
    <w:rsid w:val="007549B3"/>
    <w:rsid w:val="00755373"/>
    <w:rsid w:val="00756D08"/>
    <w:rsid w:val="007576FD"/>
    <w:rsid w:val="007579BC"/>
    <w:rsid w:val="00757F41"/>
    <w:rsid w:val="0076088A"/>
    <w:rsid w:val="00760D2F"/>
    <w:rsid w:val="00761587"/>
    <w:rsid w:val="0076210C"/>
    <w:rsid w:val="00762133"/>
    <w:rsid w:val="00763F58"/>
    <w:rsid w:val="00764795"/>
    <w:rsid w:val="007651ED"/>
    <w:rsid w:val="00765481"/>
    <w:rsid w:val="00765736"/>
    <w:rsid w:val="007664B1"/>
    <w:rsid w:val="007664D7"/>
    <w:rsid w:val="00766DA8"/>
    <w:rsid w:val="00766E56"/>
    <w:rsid w:val="007702F0"/>
    <w:rsid w:val="007709BB"/>
    <w:rsid w:val="00770BD2"/>
    <w:rsid w:val="00771F6F"/>
    <w:rsid w:val="00772771"/>
    <w:rsid w:val="007735DF"/>
    <w:rsid w:val="00774043"/>
    <w:rsid w:val="0077456C"/>
    <w:rsid w:val="0077468C"/>
    <w:rsid w:val="00774E4F"/>
    <w:rsid w:val="007763F3"/>
    <w:rsid w:val="007767B1"/>
    <w:rsid w:val="00776DA1"/>
    <w:rsid w:val="0078089D"/>
    <w:rsid w:val="007808E6"/>
    <w:rsid w:val="0078099F"/>
    <w:rsid w:val="007819F8"/>
    <w:rsid w:val="007823D4"/>
    <w:rsid w:val="007824B8"/>
    <w:rsid w:val="00782AF7"/>
    <w:rsid w:val="00783F38"/>
    <w:rsid w:val="00785648"/>
    <w:rsid w:val="00785ACC"/>
    <w:rsid w:val="007867F3"/>
    <w:rsid w:val="0078740D"/>
    <w:rsid w:val="00787A3A"/>
    <w:rsid w:val="007906F6"/>
    <w:rsid w:val="0079144D"/>
    <w:rsid w:val="0079201B"/>
    <w:rsid w:val="00792FCC"/>
    <w:rsid w:val="00793F24"/>
    <w:rsid w:val="00793FEC"/>
    <w:rsid w:val="007964F0"/>
    <w:rsid w:val="00797014"/>
    <w:rsid w:val="0079757B"/>
    <w:rsid w:val="007976C3"/>
    <w:rsid w:val="007A1DC5"/>
    <w:rsid w:val="007A3095"/>
    <w:rsid w:val="007A3D85"/>
    <w:rsid w:val="007A5D16"/>
    <w:rsid w:val="007A64AA"/>
    <w:rsid w:val="007A6CFC"/>
    <w:rsid w:val="007A7522"/>
    <w:rsid w:val="007B04B6"/>
    <w:rsid w:val="007B11E6"/>
    <w:rsid w:val="007B139C"/>
    <w:rsid w:val="007B158E"/>
    <w:rsid w:val="007B29D5"/>
    <w:rsid w:val="007B2A27"/>
    <w:rsid w:val="007B4106"/>
    <w:rsid w:val="007B431B"/>
    <w:rsid w:val="007B56DA"/>
    <w:rsid w:val="007B6388"/>
    <w:rsid w:val="007B7332"/>
    <w:rsid w:val="007C00C9"/>
    <w:rsid w:val="007C0C64"/>
    <w:rsid w:val="007C15B9"/>
    <w:rsid w:val="007C4227"/>
    <w:rsid w:val="007C4FCE"/>
    <w:rsid w:val="007C5E70"/>
    <w:rsid w:val="007C5F50"/>
    <w:rsid w:val="007C6841"/>
    <w:rsid w:val="007C6BC3"/>
    <w:rsid w:val="007C723C"/>
    <w:rsid w:val="007D284F"/>
    <w:rsid w:val="007D29AD"/>
    <w:rsid w:val="007D32EE"/>
    <w:rsid w:val="007D3684"/>
    <w:rsid w:val="007D415D"/>
    <w:rsid w:val="007D49B6"/>
    <w:rsid w:val="007D6AC3"/>
    <w:rsid w:val="007D7174"/>
    <w:rsid w:val="007D71EA"/>
    <w:rsid w:val="007D7312"/>
    <w:rsid w:val="007E0868"/>
    <w:rsid w:val="007E2555"/>
    <w:rsid w:val="007E2A6F"/>
    <w:rsid w:val="007E482F"/>
    <w:rsid w:val="007E49C3"/>
    <w:rsid w:val="007E5572"/>
    <w:rsid w:val="007E55C6"/>
    <w:rsid w:val="007E5911"/>
    <w:rsid w:val="007E5F75"/>
    <w:rsid w:val="007E669B"/>
    <w:rsid w:val="007E7180"/>
    <w:rsid w:val="007F0082"/>
    <w:rsid w:val="007F01CD"/>
    <w:rsid w:val="007F0616"/>
    <w:rsid w:val="007F0EB7"/>
    <w:rsid w:val="007F1393"/>
    <w:rsid w:val="007F1724"/>
    <w:rsid w:val="007F262D"/>
    <w:rsid w:val="007F315A"/>
    <w:rsid w:val="007F33D6"/>
    <w:rsid w:val="007F436E"/>
    <w:rsid w:val="007F43CB"/>
    <w:rsid w:val="007F5546"/>
    <w:rsid w:val="007F735E"/>
    <w:rsid w:val="00800C00"/>
    <w:rsid w:val="0080193A"/>
    <w:rsid w:val="0080214D"/>
    <w:rsid w:val="008037F5"/>
    <w:rsid w:val="008059DE"/>
    <w:rsid w:val="0080750C"/>
    <w:rsid w:val="008075A8"/>
    <w:rsid w:val="0080778B"/>
    <w:rsid w:val="00807EBB"/>
    <w:rsid w:val="00807FED"/>
    <w:rsid w:val="00810BBF"/>
    <w:rsid w:val="00811359"/>
    <w:rsid w:val="00812ECC"/>
    <w:rsid w:val="008148BB"/>
    <w:rsid w:val="0081544A"/>
    <w:rsid w:val="0081563E"/>
    <w:rsid w:val="00816A14"/>
    <w:rsid w:val="00817B05"/>
    <w:rsid w:val="00817D8D"/>
    <w:rsid w:val="00820E98"/>
    <w:rsid w:val="00821CFA"/>
    <w:rsid w:val="008220C2"/>
    <w:rsid w:val="008227B6"/>
    <w:rsid w:val="0082325C"/>
    <w:rsid w:val="00823508"/>
    <w:rsid w:val="00824913"/>
    <w:rsid w:val="00824917"/>
    <w:rsid w:val="00824B4F"/>
    <w:rsid w:val="00824C94"/>
    <w:rsid w:val="008266A4"/>
    <w:rsid w:val="00826D91"/>
    <w:rsid w:val="00827A07"/>
    <w:rsid w:val="00830670"/>
    <w:rsid w:val="00830B89"/>
    <w:rsid w:val="0083117B"/>
    <w:rsid w:val="008315DA"/>
    <w:rsid w:val="00834102"/>
    <w:rsid w:val="0083522F"/>
    <w:rsid w:val="00835768"/>
    <w:rsid w:val="008357CD"/>
    <w:rsid w:val="00835D99"/>
    <w:rsid w:val="00835E66"/>
    <w:rsid w:val="00840194"/>
    <w:rsid w:val="008401FE"/>
    <w:rsid w:val="00840B41"/>
    <w:rsid w:val="008410E3"/>
    <w:rsid w:val="00841AC4"/>
    <w:rsid w:val="00841DA0"/>
    <w:rsid w:val="00841EB1"/>
    <w:rsid w:val="008430CF"/>
    <w:rsid w:val="00844CA3"/>
    <w:rsid w:val="00846AEC"/>
    <w:rsid w:val="00850385"/>
    <w:rsid w:val="00851082"/>
    <w:rsid w:val="008523AF"/>
    <w:rsid w:val="00854E5B"/>
    <w:rsid w:val="00855364"/>
    <w:rsid w:val="0085594B"/>
    <w:rsid w:val="00855B12"/>
    <w:rsid w:val="008566A7"/>
    <w:rsid w:val="00856AEF"/>
    <w:rsid w:val="008570EA"/>
    <w:rsid w:val="00857EA6"/>
    <w:rsid w:val="0086031B"/>
    <w:rsid w:val="0086340C"/>
    <w:rsid w:val="0086389A"/>
    <w:rsid w:val="00863CF9"/>
    <w:rsid w:val="00863D92"/>
    <w:rsid w:val="00864C0B"/>
    <w:rsid w:val="00865AB2"/>
    <w:rsid w:val="00865B6D"/>
    <w:rsid w:val="00865E60"/>
    <w:rsid w:val="00870213"/>
    <w:rsid w:val="00871874"/>
    <w:rsid w:val="00873CB0"/>
    <w:rsid w:val="00875A82"/>
    <w:rsid w:val="0087687B"/>
    <w:rsid w:val="00876A37"/>
    <w:rsid w:val="00877232"/>
    <w:rsid w:val="0088014C"/>
    <w:rsid w:val="00880A83"/>
    <w:rsid w:val="00881BAB"/>
    <w:rsid w:val="00882BDE"/>
    <w:rsid w:val="00882F89"/>
    <w:rsid w:val="008843D2"/>
    <w:rsid w:val="008844FA"/>
    <w:rsid w:val="008871DA"/>
    <w:rsid w:val="00887CB2"/>
    <w:rsid w:val="00887FA2"/>
    <w:rsid w:val="008910A6"/>
    <w:rsid w:val="008912E0"/>
    <w:rsid w:val="008913F0"/>
    <w:rsid w:val="008916A6"/>
    <w:rsid w:val="00892B02"/>
    <w:rsid w:val="00894D31"/>
    <w:rsid w:val="00894DF6"/>
    <w:rsid w:val="008A155C"/>
    <w:rsid w:val="008A2288"/>
    <w:rsid w:val="008A5EFD"/>
    <w:rsid w:val="008A5F8F"/>
    <w:rsid w:val="008A6031"/>
    <w:rsid w:val="008A6B62"/>
    <w:rsid w:val="008A77DF"/>
    <w:rsid w:val="008B1D6E"/>
    <w:rsid w:val="008B57ED"/>
    <w:rsid w:val="008B5873"/>
    <w:rsid w:val="008B5C49"/>
    <w:rsid w:val="008B6434"/>
    <w:rsid w:val="008B66EC"/>
    <w:rsid w:val="008B6F6E"/>
    <w:rsid w:val="008B70C6"/>
    <w:rsid w:val="008C10A5"/>
    <w:rsid w:val="008C2964"/>
    <w:rsid w:val="008C3507"/>
    <w:rsid w:val="008C3B03"/>
    <w:rsid w:val="008C3EA1"/>
    <w:rsid w:val="008C40E9"/>
    <w:rsid w:val="008C4705"/>
    <w:rsid w:val="008C4B82"/>
    <w:rsid w:val="008C4FDB"/>
    <w:rsid w:val="008C5AC2"/>
    <w:rsid w:val="008C7B32"/>
    <w:rsid w:val="008D0323"/>
    <w:rsid w:val="008D09EE"/>
    <w:rsid w:val="008D23BD"/>
    <w:rsid w:val="008D3BC3"/>
    <w:rsid w:val="008D523B"/>
    <w:rsid w:val="008D5295"/>
    <w:rsid w:val="008D64EA"/>
    <w:rsid w:val="008D69D9"/>
    <w:rsid w:val="008D6B71"/>
    <w:rsid w:val="008E0215"/>
    <w:rsid w:val="008E0379"/>
    <w:rsid w:val="008E09E3"/>
    <w:rsid w:val="008E1852"/>
    <w:rsid w:val="008E18A1"/>
    <w:rsid w:val="008E2167"/>
    <w:rsid w:val="008E2556"/>
    <w:rsid w:val="008E29E0"/>
    <w:rsid w:val="008E3F63"/>
    <w:rsid w:val="008E4797"/>
    <w:rsid w:val="008E4912"/>
    <w:rsid w:val="008E7F6D"/>
    <w:rsid w:val="008F1C19"/>
    <w:rsid w:val="008F20E9"/>
    <w:rsid w:val="008F25B4"/>
    <w:rsid w:val="008F5F6C"/>
    <w:rsid w:val="008F6552"/>
    <w:rsid w:val="008F6B96"/>
    <w:rsid w:val="008F7959"/>
    <w:rsid w:val="00900864"/>
    <w:rsid w:val="009019E7"/>
    <w:rsid w:val="00901E7E"/>
    <w:rsid w:val="00902144"/>
    <w:rsid w:val="00902B28"/>
    <w:rsid w:val="009030AC"/>
    <w:rsid w:val="00903392"/>
    <w:rsid w:val="00903481"/>
    <w:rsid w:val="00904B7D"/>
    <w:rsid w:val="0090545E"/>
    <w:rsid w:val="00910724"/>
    <w:rsid w:val="009130DC"/>
    <w:rsid w:val="009132DD"/>
    <w:rsid w:val="009150B2"/>
    <w:rsid w:val="00915567"/>
    <w:rsid w:val="0091576F"/>
    <w:rsid w:val="00915C09"/>
    <w:rsid w:val="00915C7D"/>
    <w:rsid w:val="009162BD"/>
    <w:rsid w:val="00916BF9"/>
    <w:rsid w:val="00917403"/>
    <w:rsid w:val="00917FAA"/>
    <w:rsid w:val="00920FEC"/>
    <w:rsid w:val="0092487D"/>
    <w:rsid w:val="0092663E"/>
    <w:rsid w:val="00927F10"/>
    <w:rsid w:val="00927F9A"/>
    <w:rsid w:val="00930215"/>
    <w:rsid w:val="009319CE"/>
    <w:rsid w:val="0093391B"/>
    <w:rsid w:val="00933AB7"/>
    <w:rsid w:val="00933CBA"/>
    <w:rsid w:val="00934A09"/>
    <w:rsid w:val="00935062"/>
    <w:rsid w:val="0093510F"/>
    <w:rsid w:val="00935900"/>
    <w:rsid w:val="00935DAA"/>
    <w:rsid w:val="0093618C"/>
    <w:rsid w:val="00937264"/>
    <w:rsid w:val="009377FD"/>
    <w:rsid w:val="009400B9"/>
    <w:rsid w:val="00940684"/>
    <w:rsid w:val="009432ED"/>
    <w:rsid w:val="00944044"/>
    <w:rsid w:val="00944DBD"/>
    <w:rsid w:val="009479C5"/>
    <w:rsid w:val="00950F65"/>
    <w:rsid w:val="0095121A"/>
    <w:rsid w:val="0095167C"/>
    <w:rsid w:val="00951FB8"/>
    <w:rsid w:val="00952F31"/>
    <w:rsid w:val="00954252"/>
    <w:rsid w:val="00955AE7"/>
    <w:rsid w:val="00955BC9"/>
    <w:rsid w:val="009562BC"/>
    <w:rsid w:val="00960145"/>
    <w:rsid w:val="009613D1"/>
    <w:rsid w:val="009621C8"/>
    <w:rsid w:val="00962436"/>
    <w:rsid w:val="009625C9"/>
    <w:rsid w:val="00962734"/>
    <w:rsid w:val="009627F5"/>
    <w:rsid w:val="00962EEA"/>
    <w:rsid w:val="00962F0E"/>
    <w:rsid w:val="00963618"/>
    <w:rsid w:val="00963D71"/>
    <w:rsid w:val="00964677"/>
    <w:rsid w:val="00966065"/>
    <w:rsid w:val="00966086"/>
    <w:rsid w:val="0096613C"/>
    <w:rsid w:val="009665EF"/>
    <w:rsid w:val="00967197"/>
    <w:rsid w:val="00967CB5"/>
    <w:rsid w:val="0097054D"/>
    <w:rsid w:val="00970A4B"/>
    <w:rsid w:val="00970A51"/>
    <w:rsid w:val="00971448"/>
    <w:rsid w:val="00971918"/>
    <w:rsid w:val="00971BE3"/>
    <w:rsid w:val="0097291A"/>
    <w:rsid w:val="00974885"/>
    <w:rsid w:val="00975501"/>
    <w:rsid w:val="00975778"/>
    <w:rsid w:val="009758F6"/>
    <w:rsid w:val="00975B9B"/>
    <w:rsid w:val="00975DC7"/>
    <w:rsid w:val="00975E5B"/>
    <w:rsid w:val="0097640F"/>
    <w:rsid w:val="00977C4A"/>
    <w:rsid w:val="00977E7F"/>
    <w:rsid w:val="00980BFC"/>
    <w:rsid w:val="009819DE"/>
    <w:rsid w:val="00982E62"/>
    <w:rsid w:val="00983D23"/>
    <w:rsid w:val="00984321"/>
    <w:rsid w:val="0098435A"/>
    <w:rsid w:val="00984EA5"/>
    <w:rsid w:val="00985058"/>
    <w:rsid w:val="009852AF"/>
    <w:rsid w:val="009852B7"/>
    <w:rsid w:val="00985A3B"/>
    <w:rsid w:val="00985A7B"/>
    <w:rsid w:val="0098787B"/>
    <w:rsid w:val="009900D3"/>
    <w:rsid w:val="009901F5"/>
    <w:rsid w:val="009908DD"/>
    <w:rsid w:val="00990EAA"/>
    <w:rsid w:val="00992E7C"/>
    <w:rsid w:val="00993775"/>
    <w:rsid w:val="00993956"/>
    <w:rsid w:val="00995431"/>
    <w:rsid w:val="0099607C"/>
    <w:rsid w:val="009968EC"/>
    <w:rsid w:val="00996C18"/>
    <w:rsid w:val="00997A6C"/>
    <w:rsid w:val="009A0742"/>
    <w:rsid w:val="009A07D0"/>
    <w:rsid w:val="009A0F55"/>
    <w:rsid w:val="009A1530"/>
    <w:rsid w:val="009A18BB"/>
    <w:rsid w:val="009A25D5"/>
    <w:rsid w:val="009A5A1C"/>
    <w:rsid w:val="009A62C5"/>
    <w:rsid w:val="009A699F"/>
    <w:rsid w:val="009A775D"/>
    <w:rsid w:val="009B05C2"/>
    <w:rsid w:val="009B0866"/>
    <w:rsid w:val="009B2A5E"/>
    <w:rsid w:val="009B3FE4"/>
    <w:rsid w:val="009B73FD"/>
    <w:rsid w:val="009C0318"/>
    <w:rsid w:val="009C04FA"/>
    <w:rsid w:val="009C0CFE"/>
    <w:rsid w:val="009C112C"/>
    <w:rsid w:val="009C1543"/>
    <w:rsid w:val="009C18D9"/>
    <w:rsid w:val="009C1C1E"/>
    <w:rsid w:val="009C2FA2"/>
    <w:rsid w:val="009C5AAA"/>
    <w:rsid w:val="009C6BE2"/>
    <w:rsid w:val="009C7B31"/>
    <w:rsid w:val="009C7EE5"/>
    <w:rsid w:val="009C7F4F"/>
    <w:rsid w:val="009D1124"/>
    <w:rsid w:val="009D1BA9"/>
    <w:rsid w:val="009D59EA"/>
    <w:rsid w:val="009D5B83"/>
    <w:rsid w:val="009D5EEE"/>
    <w:rsid w:val="009D6F5B"/>
    <w:rsid w:val="009D7E81"/>
    <w:rsid w:val="009E02E3"/>
    <w:rsid w:val="009E0CAD"/>
    <w:rsid w:val="009E1DC2"/>
    <w:rsid w:val="009E2178"/>
    <w:rsid w:val="009E5733"/>
    <w:rsid w:val="009E6F13"/>
    <w:rsid w:val="009E7514"/>
    <w:rsid w:val="009E7CC8"/>
    <w:rsid w:val="009F05D2"/>
    <w:rsid w:val="009F16DC"/>
    <w:rsid w:val="009F1CCC"/>
    <w:rsid w:val="009F1FFD"/>
    <w:rsid w:val="009F3399"/>
    <w:rsid w:val="009F41BF"/>
    <w:rsid w:val="009F41CC"/>
    <w:rsid w:val="009F4D3D"/>
    <w:rsid w:val="009F5677"/>
    <w:rsid w:val="009F7270"/>
    <w:rsid w:val="00A00491"/>
    <w:rsid w:val="00A00FC4"/>
    <w:rsid w:val="00A02C5C"/>
    <w:rsid w:val="00A04733"/>
    <w:rsid w:val="00A0599D"/>
    <w:rsid w:val="00A05DA7"/>
    <w:rsid w:val="00A05EA5"/>
    <w:rsid w:val="00A07310"/>
    <w:rsid w:val="00A07800"/>
    <w:rsid w:val="00A1070C"/>
    <w:rsid w:val="00A11ECD"/>
    <w:rsid w:val="00A12202"/>
    <w:rsid w:val="00A13853"/>
    <w:rsid w:val="00A13F8E"/>
    <w:rsid w:val="00A1484E"/>
    <w:rsid w:val="00A16076"/>
    <w:rsid w:val="00A162E6"/>
    <w:rsid w:val="00A16F60"/>
    <w:rsid w:val="00A1780C"/>
    <w:rsid w:val="00A2026F"/>
    <w:rsid w:val="00A21859"/>
    <w:rsid w:val="00A21926"/>
    <w:rsid w:val="00A21BD0"/>
    <w:rsid w:val="00A21F72"/>
    <w:rsid w:val="00A221BB"/>
    <w:rsid w:val="00A22B72"/>
    <w:rsid w:val="00A22E1E"/>
    <w:rsid w:val="00A2429A"/>
    <w:rsid w:val="00A246AF"/>
    <w:rsid w:val="00A2551B"/>
    <w:rsid w:val="00A2786C"/>
    <w:rsid w:val="00A309E8"/>
    <w:rsid w:val="00A33CA9"/>
    <w:rsid w:val="00A347D8"/>
    <w:rsid w:val="00A34FB6"/>
    <w:rsid w:val="00A35152"/>
    <w:rsid w:val="00A36033"/>
    <w:rsid w:val="00A3730B"/>
    <w:rsid w:val="00A426F4"/>
    <w:rsid w:val="00A43106"/>
    <w:rsid w:val="00A43B61"/>
    <w:rsid w:val="00A448CE"/>
    <w:rsid w:val="00A45641"/>
    <w:rsid w:val="00A4660E"/>
    <w:rsid w:val="00A46F80"/>
    <w:rsid w:val="00A47504"/>
    <w:rsid w:val="00A504B9"/>
    <w:rsid w:val="00A52D92"/>
    <w:rsid w:val="00A536A8"/>
    <w:rsid w:val="00A549E1"/>
    <w:rsid w:val="00A56194"/>
    <w:rsid w:val="00A5662B"/>
    <w:rsid w:val="00A56AD8"/>
    <w:rsid w:val="00A570D9"/>
    <w:rsid w:val="00A57A48"/>
    <w:rsid w:val="00A57C56"/>
    <w:rsid w:val="00A57D6C"/>
    <w:rsid w:val="00A60BAD"/>
    <w:rsid w:val="00A611ED"/>
    <w:rsid w:val="00A62A22"/>
    <w:rsid w:val="00A636D0"/>
    <w:rsid w:val="00A6426C"/>
    <w:rsid w:val="00A648AA"/>
    <w:rsid w:val="00A6519E"/>
    <w:rsid w:val="00A6540D"/>
    <w:rsid w:val="00A65CF7"/>
    <w:rsid w:val="00A66C80"/>
    <w:rsid w:val="00A66F83"/>
    <w:rsid w:val="00A70C2E"/>
    <w:rsid w:val="00A72CAF"/>
    <w:rsid w:val="00A73774"/>
    <w:rsid w:val="00A7387B"/>
    <w:rsid w:val="00A75D0C"/>
    <w:rsid w:val="00A77AA1"/>
    <w:rsid w:val="00A810A4"/>
    <w:rsid w:val="00A81185"/>
    <w:rsid w:val="00A8272E"/>
    <w:rsid w:val="00A83C65"/>
    <w:rsid w:val="00A83C9D"/>
    <w:rsid w:val="00A847B8"/>
    <w:rsid w:val="00A84DB9"/>
    <w:rsid w:val="00A84F2B"/>
    <w:rsid w:val="00A84F86"/>
    <w:rsid w:val="00A85230"/>
    <w:rsid w:val="00A86BB9"/>
    <w:rsid w:val="00A90ED8"/>
    <w:rsid w:val="00A91092"/>
    <w:rsid w:val="00A919CE"/>
    <w:rsid w:val="00A9271E"/>
    <w:rsid w:val="00A93860"/>
    <w:rsid w:val="00A93960"/>
    <w:rsid w:val="00A93C1B"/>
    <w:rsid w:val="00A93E19"/>
    <w:rsid w:val="00A93E7C"/>
    <w:rsid w:val="00A943E4"/>
    <w:rsid w:val="00A94CCE"/>
    <w:rsid w:val="00A9545E"/>
    <w:rsid w:val="00A959B6"/>
    <w:rsid w:val="00A95D41"/>
    <w:rsid w:val="00A96ABE"/>
    <w:rsid w:val="00A96C23"/>
    <w:rsid w:val="00A9754A"/>
    <w:rsid w:val="00A97563"/>
    <w:rsid w:val="00A97B60"/>
    <w:rsid w:val="00AA13F2"/>
    <w:rsid w:val="00AA190F"/>
    <w:rsid w:val="00AA1B1F"/>
    <w:rsid w:val="00AA1B21"/>
    <w:rsid w:val="00AA32E1"/>
    <w:rsid w:val="00AA4A0F"/>
    <w:rsid w:val="00AA4A63"/>
    <w:rsid w:val="00AB0110"/>
    <w:rsid w:val="00AB0124"/>
    <w:rsid w:val="00AB205E"/>
    <w:rsid w:val="00AB3422"/>
    <w:rsid w:val="00AB35BF"/>
    <w:rsid w:val="00AB38FF"/>
    <w:rsid w:val="00AB53E4"/>
    <w:rsid w:val="00AB59C7"/>
    <w:rsid w:val="00AB5B32"/>
    <w:rsid w:val="00AB601F"/>
    <w:rsid w:val="00AB74E8"/>
    <w:rsid w:val="00AB76C7"/>
    <w:rsid w:val="00AB7DE9"/>
    <w:rsid w:val="00AC15B5"/>
    <w:rsid w:val="00AC2011"/>
    <w:rsid w:val="00AC29D2"/>
    <w:rsid w:val="00AC3AD7"/>
    <w:rsid w:val="00AC4719"/>
    <w:rsid w:val="00AC5653"/>
    <w:rsid w:val="00AC7F28"/>
    <w:rsid w:val="00AD0DCB"/>
    <w:rsid w:val="00AD17C2"/>
    <w:rsid w:val="00AD1805"/>
    <w:rsid w:val="00AD1E9C"/>
    <w:rsid w:val="00AD2229"/>
    <w:rsid w:val="00AD2A3D"/>
    <w:rsid w:val="00AD3F3B"/>
    <w:rsid w:val="00AD5B68"/>
    <w:rsid w:val="00AD6D79"/>
    <w:rsid w:val="00AE0124"/>
    <w:rsid w:val="00AE0263"/>
    <w:rsid w:val="00AE0B22"/>
    <w:rsid w:val="00AE6FA5"/>
    <w:rsid w:val="00AE71B4"/>
    <w:rsid w:val="00AF0A05"/>
    <w:rsid w:val="00AF3070"/>
    <w:rsid w:val="00AF401D"/>
    <w:rsid w:val="00AF4A3B"/>
    <w:rsid w:val="00AF654A"/>
    <w:rsid w:val="00AF7530"/>
    <w:rsid w:val="00AF7FDE"/>
    <w:rsid w:val="00B00EE4"/>
    <w:rsid w:val="00B01F75"/>
    <w:rsid w:val="00B02555"/>
    <w:rsid w:val="00B035DA"/>
    <w:rsid w:val="00B05AD4"/>
    <w:rsid w:val="00B076FB"/>
    <w:rsid w:val="00B079AC"/>
    <w:rsid w:val="00B11231"/>
    <w:rsid w:val="00B11264"/>
    <w:rsid w:val="00B116CD"/>
    <w:rsid w:val="00B1195E"/>
    <w:rsid w:val="00B134FE"/>
    <w:rsid w:val="00B13BE6"/>
    <w:rsid w:val="00B13C7F"/>
    <w:rsid w:val="00B13DAF"/>
    <w:rsid w:val="00B14324"/>
    <w:rsid w:val="00B176AF"/>
    <w:rsid w:val="00B17A23"/>
    <w:rsid w:val="00B17F18"/>
    <w:rsid w:val="00B20C4E"/>
    <w:rsid w:val="00B216DD"/>
    <w:rsid w:val="00B219BF"/>
    <w:rsid w:val="00B2250A"/>
    <w:rsid w:val="00B2416B"/>
    <w:rsid w:val="00B2489E"/>
    <w:rsid w:val="00B24B26"/>
    <w:rsid w:val="00B25049"/>
    <w:rsid w:val="00B26951"/>
    <w:rsid w:val="00B26ED3"/>
    <w:rsid w:val="00B31659"/>
    <w:rsid w:val="00B322AD"/>
    <w:rsid w:val="00B32955"/>
    <w:rsid w:val="00B33AE2"/>
    <w:rsid w:val="00B3442C"/>
    <w:rsid w:val="00B34EFA"/>
    <w:rsid w:val="00B35395"/>
    <w:rsid w:val="00B363F0"/>
    <w:rsid w:val="00B365E0"/>
    <w:rsid w:val="00B36609"/>
    <w:rsid w:val="00B376B3"/>
    <w:rsid w:val="00B41769"/>
    <w:rsid w:val="00B422B7"/>
    <w:rsid w:val="00B4233D"/>
    <w:rsid w:val="00B4247D"/>
    <w:rsid w:val="00B4254C"/>
    <w:rsid w:val="00B42823"/>
    <w:rsid w:val="00B447C3"/>
    <w:rsid w:val="00B45C13"/>
    <w:rsid w:val="00B46654"/>
    <w:rsid w:val="00B46F3B"/>
    <w:rsid w:val="00B540AB"/>
    <w:rsid w:val="00B54962"/>
    <w:rsid w:val="00B5542C"/>
    <w:rsid w:val="00B5544A"/>
    <w:rsid w:val="00B57039"/>
    <w:rsid w:val="00B647E3"/>
    <w:rsid w:val="00B6581F"/>
    <w:rsid w:val="00B65F87"/>
    <w:rsid w:val="00B70A4D"/>
    <w:rsid w:val="00B7104B"/>
    <w:rsid w:val="00B71202"/>
    <w:rsid w:val="00B71C62"/>
    <w:rsid w:val="00B71E23"/>
    <w:rsid w:val="00B72406"/>
    <w:rsid w:val="00B725EF"/>
    <w:rsid w:val="00B744A9"/>
    <w:rsid w:val="00B747F1"/>
    <w:rsid w:val="00B773FD"/>
    <w:rsid w:val="00B82495"/>
    <w:rsid w:val="00B82F92"/>
    <w:rsid w:val="00B8316C"/>
    <w:rsid w:val="00B846A8"/>
    <w:rsid w:val="00B854E8"/>
    <w:rsid w:val="00B85FBC"/>
    <w:rsid w:val="00B86517"/>
    <w:rsid w:val="00B86599"/>
    <w:rsid w:val="00B86702"/>
    <w:rsid w:val="00B86BF1"/>
    <w:rsid w:val="00B879DF"/>
    <w:rsid w:val="00B91F7B"/>
    <w:rsid w:val="00B920C6"/>
    <w:rsid w:val="00B921A2"/>
    <w:rsid w:val="00B92BE6"/>
    <w:rsid w:val="00B93593"/>
    <w:rsid w:val="00B9581D"/>
    <w:rsid w:val="00B96DCA"/>
    <w:rsid w:val="00B97BE6"/>
    <w:rsid w:val="00BA0938"/>
    <w:rsid w:val="00BA1BDD"/>
    <w:rsid w:val="00BA1EFE"/>
    <w:rsid w:val="00BA3822"/>
    <w:rsid w:val="00BA647E"/>
    <w:rsid w:val="00BA6DE5"/>
    <w:rsid w:val="00BA7296"/>
    <w:rsid w:val="00BB09A9"/>
    <w:rsid w:val="00BB0F32"/>
    <w:rsid w:val="00BB246E"/>
    <w:rsid w:val="00BB2AD8"/>
    <w:rsid w:val="00BB30FA"/>
    <w:rsid w:val="00BB32C4"/>
    <w:rsid w:val="00BB3783"/>
    <w:rsid w:val="00BB3BD9"/>
    <w:rsid w:val="00BB3F9E"/>
    <w:rsid w:val="00BB586A"/>
    <w:rsid w:val="00BC1716"/>
    <w:rsid w:val="00BC2C58"/>
    <w:rsid w:val="00BC4610"/>
    <w:rsid w:val="00BC4740"/>
    <w:rsid w:val="00BC4B97"/>
    <w:rsid w:val="00BC59E8"/>
    <w:rsid w:val="00BC5B7E"/>
    <w:rsid w:val="00BD008C"/>
    <w:rsid w:val="00BD04CB"/>
    <w:rsid w:val="00BD1D01"/>
    <w:rsid w:val="00BD26C0"/>
    <w:rsid w:val="00BD4A23"/>
    <w:rsid w:val="00BD5062"/>
    <w:rsid w:val="00BD607B"/>
    <w:rsid w:val="00BD62CC"/>
    <w:rsid w:val="00BD63C1"/>
    <w:rsid w:val="00BD73E0"/>
    <w:rsid w:val="00BE0CF8"/>
    <w:rsid w:val="00BE1651"/>
    <w:rsid w:val="00BE2AE2"/>
    <w:rsid w:val="00BE2D37"/>
    <w:rsid w:val="00BE381D"/>
    <w:rsid w:val="00BE3D73"/>
    <w:rsid w:val="00BE4CBB"/>
    <w:rsid w:val="00BE4CC4"/>
    <w:rsid w:val="00BE633B"/>
    <w:rsid w:val="00BE7EEE"/>
    <w:rsid w:val="00BF0832"/>
    <w:rsid w:val="00BF1044"/>
    <w:rsid w:val="00BF122F"/>
    <w:rsid w:val="00BF215B"/>
    <w:rsid w:val="00BF23C0"/>
    <w:rsid w:val="00BF2AC6"/>
    <w:rsid w:val="00BF2C26"/>
    <w:rsid w:val="00BF2E11"/>
    <w:rsid w:val="00BF3507"/>
    <w:rsid w:val="00BF37CC"/>
    <w:rsid w:val="00BF3D3F"/>
    <w:rsid w:val="00BF5226"/>
    <w:rsid w:val="00BF6281"/>
    <w:rsid w:val="00BF6819"/>
    <w:rsid w:val="00C01427"/>
    <w:rsid w:val="00C0359D"/>
    <w:rsid w:val="00C03849"/>
    <w:rsid w:val="00C03897"/>
    <w:rsid w:val="00C03A3A"/>
    <w:rsid w:val="00C03B4F"/>
    <w:rsid w:val="00C05129"/>
    <w:rsid w:val="00C063D7"/>
    <w:rsid w:val="00C06597"/>
    <w:rsid w:val="00C11D3F"/>
    <w:rsid w:val="00C12CBB"/>
    <w:rsid w:val="00C138C6"/>
    <w:rsid w:val="00C14C90"/>
    <w:rsid w:val="00C218F5"/>
    <w:rsid w:val="00C22AEA"/>
    <w:rsid w:val="00C22C22"/>
    <w:rsid w:val="00C258B9"/>
    <w:rsid w:val="00C26135"/>
    <w:rsid w:val="00C2707D"/>
    <w:rsid w:val="00C27846"/>
    <w:rsid w:val="00C27BBD"/>
    <w:rsid w:val="00C27D26"/>
    <w:rsid w:val="00C3082A"/>
    <w:rsid w:val="00C30D93"/>
    <w:rsid w:val="00C30DE5"/>
    <w:rsid w:val="00C314D7"/>
    <w:rsid w:val="00C31750"/>
    <w:rsid w:val="00C34164"/>
    <w:rsid w:val="00C3454D"/>
    <w:rsid w:val="00C36C81"/>
    <w:rsid w:val="00C36EFC"/>
    <w:rsid w:val="00C37A4A"/>
    <w:rsid w:val="00C402A9"/>
    <w:rsid w:val="00C41399"/>
    <w:rsid w:val="00C4208F"/>
    <w:rsid w:val="00C42225"/>
    <w:rsid w:val="00C43206"/>
    <w:rsid w:val="00C4341E"/>
    <w:rsid w:val="00C43FAD"/>
    <w:rsid w:val="00C453F6"/>
    <w:rsid w:val="00C45784"/>
    <w:rsid w:val="00C45A4C"/>
    <w:rsid w:val="00C45BDB"/>
    <w:rsid w:val="00C45D7C"/>
    <w:rsid w:val="00C4682E"/>
    <w:rsid w:val="00C4742E"/>
    <w:rsid w:val="00C47851"/>
    <w:rsid w:val="00C51047"/>
    <w:rsid w:val="00C5110D"/>
    <w:rsid w:val="00C52298"/>
    <w:rsid w:val="00C529C9"/>
    <w:rsid w:val="00C52FC2"/>
    <w:rsid w:val="00C53320"/>
    <w:rsid w:val="00C53689"/>
    <w:rsid w:val="00C53A59"/>
    <w:rsid w:val="00C5407D"/>
    <w:rsid w:val="00C562CA"/>
    <w:rsid w:val="00C573A6"/>
    <w:rsid w:val="00C578CF"/>
    <w:rsid w:val="00C62B4B"/>
    <w:rsid w:val="00C65F6D"/>
    <w:rsid w:val="00C70283"/>
    <w:rsid w:val="00C74401"/>
    <w:rsid w:val="00C75AC1"/>
    <w:rsid w:val="00C75FF7"/>
    <w:rsid w:val="00C76AF5"/>
    <w:rsid w:val="00C7796B"/>
    <w:rsid w:val="00C77977"/>
    <w:rsid w:val="00C8059A"/>
    <w:rsid w:val="00C809E3"/>
    <w:rsid w:val="00C809EC"/>
    <w:rsid w:val="00C83446"/>
    <w:rsid w:val="00C83A6E"/>
    <w:rsid w:val="00C84D15"/>
    <w:rsid w:val="00C85306"/>
    <w:rsid w:val="00C87F0D"/>
    <w:rsid w:val="00C907D9"/>
    <w:rsid w:val="00C90B10"/>
    <w:rsid w:val="00C912E6"/>
    <w:rsid w:val="00C9191F"/>
    <w:rsid w:val="00C92C85"/>
    <w:rsid w:val="00C94689"/>
    <w:rsid w:val="00C96C10"/>
    <w:rsid w:val="00C9789B"/>
    <w:rsid w:val="00CA0323"/>
    <w:rsid w:val="00CA09B8"/>
    <w:rsid w:val="00CA369D"/>
    <w:rsid w:val="00CA6160"/>
    <w:rsid w:val="00CA6260"/>
    <w:rsid w:val="00CA776D"/>
    <w:rsid w:val="00CA7C4C"/>
    <w:rsid w:val="00CB0A2B"/>
    <w:rsid w:val="00CB0F7E"/>
    <w:rsid w:val="00CB23A8"/>
    <w:rsid w:val="00CB48C3"/>
    <w:rsid w:val="00CB4A02"/>
    <w:rsid w:val="00CB67E9"/>
    <w:rsid w:val="00CC07FE"/>
    <w:rsid w:val="00CC1DF5"/>
    <w:rsid w:val="00CC271F"/>
    <w:rsid w:val="00CC27C7"/>
    <w:rsid w:val="00CC356D"/>
    <w:rsid w:val="00CC35C6"/>
    <w:rsid w:val="00CC3EB2"/>
    <w:rsid w:val="00CC4771"/>
    <w:rsid w:val="00CC57FB"/>
    <w:rsid w:val="00CC5EAA"/>
    <w:rsid w:val="00CC5F9C"/>
    <w:rsid w:val="00CC7418"/>
    <w:rsid w:val="00CC7F44"/>
    <w:rsid w:val="00CD0C04"/>
    <w:rsid w:val="00CD0C83"/>
    <w:rsid w:val="00CD1D66"/>
    <w:rsid w:val="00CD3C7A"/>
    <w:rsid w:val="00CD3FD3"/>
    <w:rsid w:val="00CD4199"/>
    <w:rsid w:val="00CD575E"/>
    <w:rsid w:val="00CD5D04"/>
    <w:rsid w:val="00CE0169"/>
    <w:rsid w:val="00CE02A9"/>
    <w:rsid w:val="00CE2C07"/>
    <w:rsid w:val="00CE3077"/>
    <w:rsid w:val="00CE4908"/>
    <w:rsid w:val="00CE50EE"/>
    <w:rsid w:val="00CE78C7"/>
    <w:rsid w:val="00CE7B4A"/>
    <w:rsid w:val="00CE7C93"/>
    <w:rsid w:val="00CF1C73"/>
    <w:rsid w:val="00CF29CF"/>
    <w:rsid w:val="00CF2A36"/>
    <w:rsid w:val="00CF2A90"/>
    <w:rsid w:val="00CF2DEA"/>
    <w:rsid w:val="00CF3E54"/>
    <w:rsid w:val="00CF5AF1"/>
    <w:rsid w:val="00D006D4"/>
    <w:rsid w:val="00D007BC"/>
    <w:rsid w:val="00D021CE"/>
    <w:rsid w:val="00D03E2D"/>
    <w:rsid w:val="00D03F29"/>
    <w:rsid w:val="00D04989"/>
    <w:rsid w:val="00D04E1D"/>
    <w:rsid w:val="00D04E3D"/>
    <w:rsid w:val="00D055A1"/>
    <w:rsid w:val="00D0587E"/>
    <w:rsid w:val="00D05EE9"/>
    <w:rsid w:val="00D0620B"/>
    <w:rsid w:val="00D06558"/>
    <w:rsid w:val="00D06583"/>
    <w:rsid w:val="00D06B4F"/>
    <w:rsid w:val="00D06FA5"/>
    <w:rsid w:val="00D103DE"/>
    <w:rsid w:val="00D11B88"/>
    <w:rsid w:val="00D11FA7"/>
    <w:rsid w:val="00D1412A"/>
    <w:rsid w:val="00D14BDD"/>
    <w:rsid w:val="00D16E2D"/>
    <w:rsid w:val="00D171F6"/>
    <w:rsid w:val="00D179BA"/>
    <w:rsid w:val="00D17E3E"/>
    <w:rsid w:val="00D2084C"/>
    <w:rsid w:val="00D21A29"/>
    <w:rsid w:val="00D24739"/>
    <w:rsid w:val="00D24B89"/>
    <w:rsid w:val="00D24CD4"/>
    <w:rsid w:val="00D25B0F"/>
    <w:rsid w:val="00D25D98"/>
    <w:rsid w:val="00D27E49"/>
    <w:rsid w:val="00D31957"/>
    <w:rsid w:val="00D320DA"/>
    <w:rsid w:val="00D32F2B"/>
    <w:rsid w:val="00D33649"/>
    <w:rsid w:val="00D33BAA"/>
    <w:rsid w:val="00D341BB"/>
    <w:rsid w:val="00D348AE"/>
    <w:rsid w:val="00D35428"/>
    <w:rsid w:val="00D36B39"/>
    <w:rsid w:val="00D4011E"/>
    <w:rsid w:val="00D40CFF"/>
    <w:rsid w:val="00D40D68"/>
    <w:rsid w:val="00D40EEE"/>
    <w:rsid w:val="00D42A40"/>
    <w:rsid w:val="00D43085"/>
    <w:rsid w:val="00D43663"/>
    <w:rsid w:val="00D43CD0"/>
    <w:rsid w:val="00D440A2"/>
    <w:rsid w:val="00D478DD"/>
    <w:rsid w:val="00D50072"/>
    <w:rsid w:val="00D500F6"/>
    <w:rsid w:val="00D5018C"/>
    <w:rsid w:val="00D50FBF"/>
    <w:rsid w:val="00D52EED"/>
    <w:rsid w:val="00D540B6"/>
    <w:rsid w:val="00D5534D"/>
    <w:rsid w:val="00D56E21"/>
    <w:rsid w:val="00D572F7"/>
    <w:rsid w:val="00D61402"/>
    <w:rsid w:val="00D61717"/>
    <w:rsid w:val="00D62587"/>
    <w:rsid w:val="00D62775"/>
    <w:rsid w:val="00D635E3"/>
    <w:rsid w:val="00D63876"/>
    <w:rsid w:val="00D63CCA"/>
    <w:rsid w:val="00D63D76"/>
    <w:rsid w:val="00D649FA"/>
    <w:rsid w:val="00D65885"/>
    <w:rsid w:val="00D6684A"/>
    <w:rsid w:val="00D66E0F"/>
    <w:rsid w:val="00D70A3C"/>
    <w:rsid w:val="00D71B3B"/>
    <w:rsid w:val="00D71F7F"/>
    <w:rsid w:val="00D72EBE"/>
    <w:rsid w:val="00D746EC"/>
    <w:rsid w:val="00D7572E"/>
    <w:rsid w:val="00D76283"/>
    <w:rsid w:val="00D76989"/>
    <w:rsid w:val="00D76C28"/>
    <w:rsid w:val="00D77602"/>
    <w:rsid w:val="00D778B8"/>
    <w:rsid w:val="00D77D9C"/>
    <w:rsid w:val="00D81392"/>
    <w:rsid w:val="00D81BE2"/>
    <w:rsid w:val="00D823EB"/>
    <w:rsid w:val="00D830C5"/>
    <w:rsid w:val="00D85C0F"/>
    <w:rsid w:val="00D873E6"/>
    <w:rsid w:val="00D87EAA"/>
    <w:rsid w:val="00D90AB7"/>
    <w:rsid w:val="00D910FD"/>
    <w:rsid w:val="00D91D18"/>
    <w:rsid w:val="00D92F08"/>
    <w:rsid w:val="00D941D8"/>
    <w:rsid w:val="00D94A7D"/>
    <w:rsid w:val="00D94BAE"/>
    <w:rsid w:val="00D94EB1"/>
    <w:rsid w:val="00D9572E"/>
    <w:rsid w:val="00D95BA9"/>
    <w:rsid w:val="00D95D01"/>
    <w:rsid w:val="00D9686E"/>
    <w:rsid w:val="00D9754B"/>
    <w:rsid w:val="00DA001C"/>
    <w:rsid w:val="00DA2E96"/>
    <w:rsid w:val="00DA4FB6"/>
    <w:rsid w:val="00DA503F"/>
    <w:rsid w:val="00DA5EE2"/>
    <w:rsid w:val="00DA77BB"/>
    <w:rsid w:val="00DA7FF3"/>
    <w:rsid w:val="00DB0C9B"/>
    <w:rsid w:val="00DB0DE9"/>
    <w:rsid w:val="00DB1482"/>
    <w:rsid w:val="00DB2059"/>
    <w:rsid w:val="00DB2C0C"/>
    <w:rsid w:val="00DB30AB"/>
    <w:rsid w:val="00DB3684"/>
    <w:rsid w:val="00DB38BE"/>
    <w:rsid w:val="00DB3C81"/>
    <w:rsid w:val="00DB44B2"/>
    <w:rsid w:val="00DB5341"/>
    <w:rsid w:val="00DB5421"/>
    <w:rsid w:val="00DB5A7F"/>
    <w:rsid w:val="00DB63DF"/>
    <w:rsid w:val="00DB65F2"/>
    <w:rsid w:val="00DB7A67"/>
    <w:rsid w:val="00DC088C"/>
    <w:rsid w:val="00DC0AFE"/>
    <w:rsid w:val="00DC1658"/>
    <w:rsid w:val="00DC23AD"/>
    <w:rsid w:val="00DC2EC1"/>
    <w:rsid w:val="00DC2F11"/>
    <w:rsid w:val="00DC2F86"/>
    <w:rsid w:val="00DC2FDB"/>
    <w:rsid w:val="00DC36EE"/>
    <w:rsid w:val="00DC4114"/>
    <w:rsid w:val="00DC4E37"/>
    <w:rsid w:val="00DC5419"/>
    <w:rsid w:val="00DC6C34"/>
    <w:rsid w:val="00DC6E25"/>
    <w:rsid w:val="00DC7F19"/>
    <w:rsid w:val="00DD0884"/>
    <w:rsid w:val="00DD1031"/>
    <w:rsid w:val="00DD1A98"/>
    <w:rsid w:val="00DD2CC9"/>
    <w:rsid w:val="00DD375A"/>
    <w:rsid w:val="00DD4B5C"/>
    <w:rsid w:val="00DD6288"/>
    <w:rsid w:val="00DD7713"/>
    <w:rsid w:val="00DE2F06"/>
    <w:rsid w:val="00DE36D6"/>
    <w:rsid w:val="00DE4631"/>
    <w:rsid w:val="00DE4F60"/>
    <w:rsid w:val="00DE5268"/>
    <w:rsid w:val="00DE6AD0"/>
    <w:rsid w:val="00DE701C"/>
    <w:rsid w:val="00DF03D4"/>
    <w:rsid w:val="00DF0EC4"/>
    <w:rsid w:val="00DF2938"/>
    <w:rsid w:val="00DF4C8C"/>
    <w:rsid w:val="00DF56BB"/>
    <w:rsid w:val="00DF622C"/>
    <w:rsid w:val="00DF6DA9"/>
    <w:rsid w:val="00DF6E8D"/>
    <w:rsid w:val="00DF79B6"/>
    <w:rsid w:val="00DF7A9D"/>
    <w:rsid w:val="00DF7B68"/>
    <w:rsid w:val="00E023DB"/>
    <w:rsid w:val="00E040C6"/>
    <w:rsid w:val="00E04BF0"/>
    <w:rsid w:val="00E04CD8"/>
    <w:rsid w:val="00E05451"/>
    <w:rsid w:val="00E06547"/>
    <w:rsid w:val="00E13184"/>
    <w:rsid w:val="00E1319D"/>
    <w:rsid w:val="00E1435C"/>
    <w:rsid w:val="00E147A4"/>
    <w:rsid w:val="00E14A24"/>
    <w:rsid w:val="00E14F4C"/>
    <w:rsid w:val="00E165B4"/>
    <w:rsid w:val="00E208AE"/>
    <w:rsid w:val="00E21F11"/>
    <w:rsid w:val="00E230F5"/>
    <w:rsid w:val="00E2353B"/>
    <w:rsid w:val="00E24D31"/>
    <w:rsid w:val="00E25E76"/>
    <w:rsid w:val="00E263E8"/>
    <w:rsid w:val="00E27DD4"/>
    <w:rsid w:val="00E31413"/>
    <w:rsid w:val="00E31E6E"/>
    <w:rsid w:val="00E327A0"/>
    <w:rsid w:val="00E359E6"/>
    <w:rsid w:val="00E35AF9"/>
    <w:rsid w:val="00E407D9"/>
    <w:rsid w:val="00E40A86"/>
    <w:rsid w:val="00E40ACA"/>
    <w:rsid w:val="00E41FDE"/>
    <w:rsid w:val="00E428F4"/>
    <w:rsid w:val="00E4531A"/>
    <w:rsid w:val="00E45CB1"/>
    <w:rsid w:val="00E46F4A"/>
    <w:rsid w:val="00E47541"/>
    <w:rsid w:val="00E47C38"/>
    <w:rsid w:val="00E47F49"/>
    <w:rsid w:val="00E50DD5"/>
    <w:rsid w:val="00E523E1"/>
    <w:rsid w:val="00E526DC"/>
    <w:rsid w:val="00E5416A"/>
    <w:rsid w:val="00E54615"/>
    <w:rsid w:val="00E55275"/>
    <w:rsid w:val="00E556BF"/>
    <w:rsid w:val="00E56430"/>
    <w:rsid w:val="00E60D4F"/>
    <w:rsid w:val="00E616DF"/>
    <w:rsid w:val="00E61EF9"/>
    <w:rsid w:val="00E624A9"/>
    <w:rsid w:val="00E639CE"/>
    <w:rsid w:val="00E64382"/>
    <w:rsid w:val="00E646AB"/>
    <w:rsid w:val="00E653B5"/>
    <w:rsid w:val="00E659EF"/>
    <w:rsid w:val="00E66C41"/>
    <w:rsid w:val="00E67395"/>
    <w:rsid w:val="00E72DE6"/>
    <w:rsid w:val="00E731FC"/>
    <w:rsid w:val="00E75178"/>
    <w:rsid w:val="00E753F3"/>
    <w:rsid w:val="00E76D3C"/>
    <w:rsid w:val="00E777DD"/>
    <w:rsid w:val="00E80838"/>
    <w:rsid w:val="00E80E30"/>
    <w:rsid w:val="00E83955"/>
    <w:rsid w:val="00E84C78"/>
    <w:rsid w:val="00E859B7"/>
    <w:rsid w:val="00E90BCA"/>
    <w:rsid w:val="00E91089"/>
    <w:rsid w:val="00E91BC2"/>
    <w:rsid w:val="00E94FA8"/>
    <w:rsid w:val="00E95841"/>
    <w:rsid w:val="00EA0063"/>
    <w:rsid w:val="00EA026B"/>
    <w:rsid w:val="00EA0BF2"/>
    <w:rsid w:val="00EA2262"/>
    <w:rsid w:val="00EA2DD8"/>
    <w:rsid w:val="00EA3326"/>
    <w:rsid w:val="00EA3CA6"/>
    <w:rsid w:val="00EA48FD"/>
    <w:rsid w:val="00EA66CC"/>
    <w:rsid w:val="00EA7689"/>
    <w:rsid w:val="00EB065C"/>
    <w:rsid w:val="00EB08D7"/>
    <w:rsid w:val="00EB10A2"/>
    <w:rsid w:val="00EB146C"/>
    <w:rsid w:val="00EB19D6"/>
    <w:rsid w:val="00EB6687"/>
    <w:rsid w:val="00EB7A6D"/>
    <w:rsid w:val="00EB7D7D"/>
    <w:rsid w:val="00EC0417"/>
    <w:rsid w:val="00EC0EA5"/>
    <w:rsid w:val="00EC1E7C"/>
    <w:rsid w:val="00EC25A2"/>
    <w:rsid w:val="00EC2DC9"/>
    <w:rsid w:val="00EC378A"/>
    <w:rsid w:val="00EC48AE"/>
    <w:rsid w:val="00EC4C03"/>
    <w:rsid w:val="00EC59E4"/>
    <w:rsid w:val="00EC5B37"/>
    <w:rsid w:val="00EC5C9B"/>
    <w:rsid w:val="00EC602B"/>
    <w:rsid w:val="00EC71F7"/>
    <w:rsid w:val="00ED0541"/>
    <w:rsid w:val="00ED2044"/>
    <w:rsid w:val="00ED44D6"/>
    <w:rsid w:val="00ED67C4"/>
    <w:rsid w:val="00ED773A"/>
    <w:rsid w:val="00ED7CBF"/>
    <w:rsid w:val="00EE0FF0"/>
    <w:rsid w:val="00EE17B7"/>
    <w:rsid w:val="00EE1BD9"/>
    <w:rsid w:val="00EE2B4D"/>
    <w:rsid w:val="00EE4BE1"/>
    <w:rsid w:val="00EE53CA"/>
    <w:rsid w:val="00EE5E67"/>
    <w:rsid w:val="00EE69E8"/>
    <w:rsid w:val="00EE6DA1"/>
    <w:rsid w:val="00EF1858"/>
    <w:rsid w:val="00EF2244"/>
    <w:rsid w:val="00EF24C5"/>
    <w:rsid w:val="00EF2B55"/>
    <w:rsid w:val="00EF369E"/>
    <w:rsid w:val="00EF397A"/>
    <w:rsid w:val="00EF3E24"/>
    <w:rsid w:val="00EF4336"/>
    <w:rsid w:val="00EF5BD9"/>
    <w:rsid w:val="00EF686E"/>
    <w:rsid w:val="00EF785A"/>
    <w:rsid w:val="00F0118B"/>
    <w:rsid w:val="00F013E8"/>
    <w:rsid w:val="00F019B8"/>
    <w:rsid w:val="00F03061"/>
    <w:rsid w:val="00F03653"/>
    <w:rsid w:val="00F03F2B"/>
    <w:rsid w:val="00F06127"/>
    <w:rsid w:val="00F06503"/>
    <w:rsid w:val="00F06CBB"/>
    <w:rsid w:val="00F07AC6"/>
    <w:rsid w:val="00F07B58"/>
    <w:rsid w:val="00F07C17"/>
    <w:rsid w:val="00F11AE9"/>
    <w:rsid w:val="00F11C2F"/>
    <w:rsid w:val="00F11D17"/>
    <w:rsid w:val="00F11EE1"/>
    <w:rsid w:val="00F124D5"/>
    <w:rsid w:val="00F12AB0"/>
    <w:rsid w:val="00F14761"/>
    <w:rsid w:val="00F14F9F"/>
    <w:rsid w:val="00F16F11"/>
    <w:rsid w:val="00F170BD"/>
    <w:rsid w:val="00F176A1"/>
    <w:rsid w:val="00F17AC2"/>
    <w:rsid w:val="00F200B2"/>
    <w:rsid w:val="00F200D0"/>
    <w:rsid w:val="00F204D0"/>
    <w:rsid w:val="00F21CC9"/>
    <w:rsid w:val="00F21FC6"/>
    <w:rsid w:val="00F22239"/>
    <w:rsid w:val="00F22519"/>
    <w:rsid w:val="00F235EE"/>
    <w:rsid w:val="00F23F97"/>
    <w:rsid w:val="00F24219"/>
    <w:rsid w:val="00F24903"/>
    <w:rsid w:val="00F24D56"/>
    <w:rsid w:val="00F24D58"/>
    <w:rsid w:val="00F26A8F"/>
    <w:rsid w:val="00F3063E"/>
    <w:rsid w:val="00F30B2F"/>
    <w:rsid w:val="00F31666"/>
    <w:rsid w:val="00F317D7"/>
    <w:rsid w:val="00F31D10"/>
    <w:rsid w:val="00F32032"/>
    <w:rsid w:val="00F32BD9"/>
    <w:rsid w:val="00F32F2A"/>
    <w:rsid w:val="00F3607B"/>
    <w:rsid w:val="00F362EF"/>
    <w:rsid w:val="00F369F5"/>
    <w:rsid w:val="00F36A3C"/>
    <w:rsid w:val="00F370A5"/>
    <w:rsid w:val="00F370B7"/>
    <w:rsid w:val="00F37440"/>
    <w:rsid w:val="00F37792"/>
    <w:rsid w:val="00F37C78"/>
    <w:rsid w:val="00F41D6B"/>
    <w:rsid w:val="00F41DB6"/>
    <w:rsid w:val="00F4305B"/>
    <w:rsid w:val="00F43641"/>
    <w:rsid w:val="00F436AF"/>
    <w:rsid w:val="00F43A1B"/>
    <w:rsid w:val="00F43AD7"/>
    <w:rsid w:val="00F44E88"/>
    <w:rsid w:val="00F457B6"/>
    <w:rsid w:val="00F52306"/>
    <w:rsid w:val="00F53BAE"/>
    <w:rsid w:val="00F53FEC"/>
    <w:rsid w:val="00F5546C"/>
    <w:rsid w:val="00F6064A"/>
    <w:rsid w:val="00F6292F"/>
    <w:rsid w:val="00F6310C"/>
    <w:rsid w:val="00F642BF"/>
    <w:rsid w:val="00F66D82"/>
    <w:rsid w:val="00F73EFA"/>
    <w:rsid w:val="00F749B3"/>
    <w:rsid w:val="00F752FF"/>
    <w:rsid w:val="00F757F9"/>
    <w:rsid w:val="00F75CD4"/>
    <w:rsid w:val="00F75E6C"/>
    <w:rsid w:val="00F7638B"/>
    <w:rsid w:val="00F7706A"/>
    <w:rsid w:val="00F8062A"/>
    <w:rsid w:val="00F819E8"/>
    <w:rsid w:val="00F8205B"/>
    <w:rsid w:val="00F821C0"/>
    <w:rsid w:val="00F849AC"/>
    <w:rsid w:val="00F849EB"/>
    <w:rsid w:val="00F853DA"/>
    <w:rsid w:val="00F86F7C"/>
    <w:rsid w:val="00F90B05"/>
    <w:rsid w:val="00F9127F"/>
    <w:rsid w:val="00F929BD"/>
    <w:rsid w:val="00F93112"/>
    <w:rsid w:val="00F93347"/>
    <w:rsid w:val="00F93A61"/>
    <w:rsid w:val="00F94661"/>
    <w:rsid w:val="00F94AA4"/>
    <w:rsid w:val="00F94B56"/>
    <w:rsid w:val="00F954F0"/>
    <w:rsid w:val="00F96C6F"/>
    <w:rsid w:val="00FA00B6"/>
    <w:rsid w:val="00FA277E"/>
    <w:rsid w:val="00FA27F1"/>
    <w:rsid w:val="00FA2960"/>
    <w:rsid w:val="00FA434B"/>
    <w:rsid w:val="00FA47AB"/>
    <w:rsid w:val="00FA4C05"/>
    <w:rsid w:val="00FA4F2C"/>
    <w:rsid w:val="00FA6857"/>
    <w:rsid w:val="00FA7B18"/>
    <w:rsid w:val="00FA7BFA"/>
    <w:rsid w:val="00FA7F3E"/>
    <w:rsid w:val="00FB01CD"/>
    <w:rsid w:val="00FB0796"/>
    <w:rsid w:val="00FB18EF"/>
    <w:rsid w:val="00FB1FBA"/>
    <w:rsid w:val="00FB583F"/>
    <w:rsid w:val="00FB5B99"/>
    <w:rsid w:val="00FB6FA6"/>
    <w:rsid w:val="00FC0990"/>
    <w:rsid w:val="00FC0B50"/>
    <w:rsid w:val="00FC1B4F"/>
    <w:rsid w:val="00FC3D32"/>
    <w:rsid w:val="00FC475B"/>
    <w:rsid w:val="00FC6C58"/>
    <w:rsid w:val="00FC727F"/>
    <w:rsid w:val="00FC7DF9"/>
    <w:rsid w:val="00FD0047"/>
    <w:rsid w:val="00FD0DFD"/>
    <w:rsid w:val="00FD1A3C"/>
    <w:rsid w:val="00FD1BBC"/>
    <w:rsid w:val="00FD2226"/>
    <w:rsid w:val="00FD4EE0"/>
    <w:rsid w:val="00FD4F2C"/>
    <w:rsid w:val="00FD5449"/>
    <w:rsid w:val="00FD5F4F"/>
    <w:rsid w:val="00FD6942"/>
    <w:rsid w:val="00FD753D"/>
    <w:rsid w:val="00FD7CEC"/>
    <w:rsid w:val="00FE05AF"/>
    <w:rsid w:val="00FE0FBA"/>
    <w:rsid w:val="00FE2776"/>
    <w:rsid w:val="00FE2E94"/>
    <w:rsid w:val="00FE30EA"/>
    <w:rsid w:val="00FE3325"/>
    <w:rsid w:val="00FE343C"/>
    <w:rsid w:val="00FE3C9E"/>
    <w:rsid w:val="00FE62AB"/>
    <w:rsid w:val="00FE6315"/>
    <w:rsid w:val="00FE6FAE"/>
    <w:rsid w:val="00FE7BE4"/>
    <w:rsid w:val="00FE7DCA"/>
    <w:rsid w:val="00FF04CB"/>
    <w:rsid w:val="00FF1286"/>
    <w:rsid w:val="00FF15FA"/>
    <w:rsid w:val="00FF1B5A"/>
    <w:rsid w:val="00FF2BFC"/>
    <w:rsid w:val="00FF3E43"/>
    <w:rsid w:val="00FF4407"/>
    <w:rsid w:val="00FF56D9"/>
    <w:rsid w:val="00FF5E99"/>
    <w:rsid w:val="00FF78FC"/>
    <w:rsid w:val="00FF7B2F"/>
    <w:rsid w:val="03DA7069"/>
    <w:rsid w:val="048E4F02"/>
    <w:rsid w:val="060D430F"/>
    <w:rsid w:val="0EB5029A"/>
    <w:rsid w:val="123D20FA"/>
    <w:rsid w:val="1371767B"/>
    <w:rsid w:val="14377B71"/>
    <w:rsid w:val="149931A4"/>
    <w:rsid w:val="16EA7F09"/>
    <w:rsid w:val="1B8B4680"/>
    <w:rsid w:val="22BC6DA4"/>
    <w:rsid w:val="242817AB"/>
    <w:rsid w:val="259101D5"/>
    <w:rsid w:val="26CC085A"/>
    <w:rsid w:val="2EC26873"/>
    <w:rsid w:val="2F28384D"/>
    <w:rsid w:val="306257DB"/>
    <w:rsid w:val="32302A38"/>
    <w:rsid w:val="3F95568A"/>
    <w:rsid w:val="4142793A"/>
    <w:rsid w:val="42143EE7"/>
    <w:rsid w:val="455B2359"/>
    <w:rsid w:val="474F5649"/>
    <w:rsid w:val="4910244A"/>
    <w:rsid w:val="494157FD"/>
    <w:rsid w:val="4995049C"/>
    <w:rsid w:val="4B260EC2"/>
    <w:rsid w:val="4C065435"/>
    <w:rsid w:val="4C7E4909"/>
    <w:rsid w:val="51E946D1"/>
    <w:rsid w:val="54201818"/>
    <w:rsid w:val="546B66EA"/>
    <w:rsid w:val="5B75066A"/>
    <w:rsid w:val="5C4719F0"/>
    <w:rsid w:val="5D0B1B70"/>
    <w:rsid w:val="5E4964D9"/>
    <w:rsid w:val="60FF4151"/>
    <w:rsid w:val="61323C95"/>
    <w:rsid w:val="62795D2E"/>
    <w:rsid w:val="63783E3F"/>
    <w:rsid w:val="6A591E6A"/>
    <w:rsid w:val="6D9A7DC8"/>
    <w:rsid w:val="6DCC66FD"/>
    <w:rsid w:val="70611808"/>
    <w:rsid w:val="70AE07C0"/>
    <w:rsid w:val="79985EB8"/>
    <w:rsid w:val="7BBC005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widowControl/>
      <w:spacing w:line="312" w:lineRule="auto"/>
      <w:jc w:val="center"/>
      <w:outlineLvl w:val="0"/>
    </w:pPr>
    <w:rPr>
      <w:rFonts w:ascii="宋体" w:hAnsi="宋体"/>
      <w:b/>
      <w:kern w:val="0"/>
      <w:sz w:val="30"/>
      <w:szCs w:val="30"/>
    </w:rPr>
  </w:style>
  <w:style w:type="paragraph" w:styleId="3">
    <w:name w:val="heading 2"/>
    <w:basedOn w:val="1"/>
    <w:next w:val="1"/>
    <w:link w:val="28"/>
    <w:qFormat/>
    <w:uiPriority w:val="0"/>
    <w:pPr>
      <w:keepNext/>
      <w:keepLines/>
      <w:spacing w:before="260" w:after="260" w:line="416" w:lineRule="auto"/>
      <w:outlineLvl w:val="1"/>
    </w:pPr>
    <w:rPr>
      <w:rFonts w:ascii="Arial" w:hAnsi="Arial" w:eastAsia="黑体"/>
      <w:b/>
      <w:bCs/>
      <w:sz w:val="32"/>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5">
    <w:name w:val="Plain Text"/>
    <w:basedOn w:val="1"/>
    <w:link w:val="34"/>
    <w:qFormat/>
    <w:uiPriority w:val="0"/>
    <w:rPr>
      <w:rFonts w:ascii="宋体" w:hAnsi="Courier New" w:eastAsia="仿宋_GB2312"/>
      <w:sz w:val="30"/>
      <w:szCs w:val="20"/>
    </w:rPr>
  </w:style>
  <w:style w:type="paragraph" w:styleId="6">
    <w:name w:val="Date"/>
    <w:basedOn w:val="1"/>
    <w:next w:val="1"/>
    <w:qFormat/>
    <w:uiPriority w:val="0"/>
    <w:pPr>
      <w:ind w:left="100" w:leftChars="2500"/>
    </w:pPr>
  </w:style>
  <w:style w:type="paragraph" w:styleId="7">
    <w:name w:val="Body Text Indent 2"/>
    <w:basedOn w:val="1"/>
    <w:qFormat/>
    <w:uiPriority w:val="0"/>
    <w:pPr>
      <w:ind w:left="1200"/>
    </w:pPr>
    <w:rPr>
      <w:sz w:val="24"/>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12">
    <w:name w:val="Body Text Indent 3"/>
    <w:basedOn w:val="1"/>
    <w:qFormat/>
    <w:uiPriority w:val="0"/>
    <w:pPr>
      <w:spacing w:line="360" w:lineRule="auto"/>
      <w:ind w:left="855"/>
    </w:pPr>
  </w:style>
  <w:style w:type="paragraph" w:styleId="13">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0"/>
    <w:rPr>
      <w:b/>
      <w:bCs/>
    </w:rPr>
  </w:style>
  <w:style w:type="character" w:styleId="19">
    <w:name w:val="page number"/>
    <w:basedOn w:val="17"/>
    <w:qFormat/>
    <w:uiPriority w:val="0"/>
  </w:style>
  <w:style w:type="character" w:styleId="20">
    <w:name w:val="Hyperlink"/>
    <w:qFormat/>
    <w:uiPriority w:val="99"/>
    <w:rPr>
      <w:color w:val="0000FF"/>
      <w:u w:val="single"/>
    </w:rPr>
  </w:style>
  <w:style w:type="paragraph" w:customStyle="1" w:styleId="21">
    <w:name w:val="Char"/>
    <w:basedOn w:val="1"/>
    <w:qFormat/>
    <w:uiPriority w:val="0"/>
    <w:pPr>
      <w:tabs>
        <w:tab w:val="left" w:pos="720"/>
      </w:tabs>
      <w:ind w:left="720" w:hanging="360"/>
    </w:pPr>
    <w:rPr>
      <w:sz w:val="24"/>
    </w:rPr>
  </w:style>
  <w:style w:type="character" w:customStyle="1" w:styleId="22">
    <w:name w:val="pop_tit1"/>
    <w:qFormat/>
    <w:uiPriority w:val="0"/>
    <w:rPr>
      <w:rFonts w:hint="eastAsia" w:ascii="宋体" w:hAnsi="宋体" w:eastAsia="宋体"/>
      <w:b/>
      <w:bCs/>
      <w:color w:val="990000"/>
      <w:sz w:val="24"/>
      <w:szCs w:val="24"/>
    </w:rPr>
  </w:style>
  <w:style w:type="paragraph" w:customStyle="1" w:styleId="23">
    <w:name w:val="Char1"/>
    <w:basedOn w:val="1"/>
    <w:qFormat/>
    <w:uiPriority w:val="0"/>
    <w:pPr>
      <w:tabs>
        <w:tab w:val="right" w:pos="-2120"/>
      </w:tabs>
      <w:snapToGrid w:val="0"/>
    </w:pPr>
    <w:rPr>
      <w:rFonts w:ascii="Tahoma" w:hAnsi="Tahoma"/>
      <w:spacing w:val="6"/>
      <w:sz w:val="24"/>
      <w:szCs w:val="20"/>
    </w:rPr>
  </w:style>
  <w:style w:type="character" w:customStyle="1" w:styleId="24">
    <w:name w:val="p12"/>
    <w:basedOn w:val="17"/>
    <w:qFormat/>
    <w:uiPriority w:val="0"/>
  </w:style>
  <w:style w:type="paragraph" w:customStyle="1" w:styleId="25">
    <w:name w:val="Char Char"/>
    <w:basedOn w:val="1"/>
    <w:qFormat/>
    <w:uiPriority w:val="0"/>
    <w:rPr>
      <w:szCs w:val="21"/>
    </w:rPr>
  </w:style>
  <w:style w:type="character" w:customStyle="1" w:styleId="26">
    <w:name w:val="标题 1 Char"/>
    <w:link w:val="2"/>
    <w:qFormat/>
    <w:uiPriority w:val="0"/>
    <w:rPr>
      <w:rFonts w:ascii="宋体" w:hAnsi="宋体"/>
      <w:b/>
      <w:sz w:val="30"/>
      <w:szCs w:val="30"/>
    </w:rPr>
  </w:style>
  <w:style w:type="paragraph" w:styleId="27">
    <w:name w:val="List Paragraph"/>
    <w:basedOn w:val="1"/>
    <w:link w:val="38"/>
    <w:qFormat/>
    <w:uiPriority w:val="34"/>
    <w:pPr>
      <w:ind w:firstLine="420" w:firstLineChars="200"/>
    </w:pPr>
  </w:style>
  <w:style w:type="character" w:customStyle="1" w:styleId="28">
    <w:name w:val="标题 2 Char"/>
    <w:link w:val="3"/>
    <w:qFormat/>
    <w:uiPriority w:val="0"/>
    <w:rPr>
      <w:rFonts w:ascii="Arial" w:hAnsi="Arial" w:eastAsia="黑体"/>
      <w:b/>
      <w:bCs/>
      <w:kern w:val="2"/>
      <w:sz w:val="32"/>
      <w:szCs w:val="32"/>
    </w:rPr>
  </w:style>
  <w:style w:type="paragraph" w:customStyle="1" w:styleId="29">
    <w:name w:val="正文 + 段后: 7.8 磅"/>
    <w:basedOn w:val="1"/>
    <w:qFormat/>
    <w:uiPriority w:val="0"/>
    <w:pPr>
      <w:spacing w:afterLines="50"/>
      <w:ind w:left="420" w:hanging="420" w:hangingChars="200"/>
    </w:pPr>
    <w:rPr>
      <w:rFonts w:ascii="宋体" w:hAnsi="宋体" w:cs="宋体"/>
      <w:kern w:val="0"/>
      <w:szCs w:val="21"/>
    </w:rPr>
  </w:style>
  <w:style w:type="paragraph" w:customStyle="1" w:styleId="30">
    <w:name w:val="TOC 标题1"/>
    <w:basedOn w:val="2"/>
    <w:next w:val="1"/>
    <w:unhideWhenUsed/>
    <w:qFormat/>
    <w:uiPriority w:val="39"/>
    <w:pPr>
      <w:spacing w:before="480" w:line="276" w:lineRule="auto"/>
      <w:outlineLvl w:val="9"/>
    </w:pPr>
    <w:rPr>
      <w:rFonts w:ascii="Cambria" w:hAnsi="Cambria"/>
      <w:bCs/>
      <w:color w:val="365F91"/>
      <w:sz w:val="28"/>
      <w:szCs w:val="28"/>
    </w:rPr>
  </w:style>
  <w:style w:type="paragraph" w:customStyle="1" w:styleId="31">
    <w:name w:val="样式1"/>
    <w:basedOn w:val="1"/>
    <w:qFormat/>
    <w:uiPriority w:val="0"/>
    <w:pPr>
      <w:adjustRightInd w:val="0"/>
      <w:textAlignment w:val="baseline"/>
    </w:pPr>
    <w:rPr>
      <w:rFonts w:ascii="宋体" w:hAnsi="宋体"/>
      <w:kern w:val="0"/>
      <w:szCs w:val="21"/>
    </w:rPr>
  </w:style>
  <w:style w:type="paragraph" w:customStyle="1" w:styleId="32">
    <w:name w:val="Char2"/>
    <w:basedOn w:val="1"/>
    <w:qFormat/>
    <w:uiPriority w:val="0"/>
  </w:style>
  <w:style w:type="character" w:customStyle="1" w:styleId="33">
    <w:name w:val="纯文本 Char"/>
    <w:qFormat/>
    <w:uiPriority w:val="0"/>
    <w:rPr>
      <w:rFonts w:ascii="宋体" w:hAnsi="Courier New" w:cs="Courier New"/>
      <w:kern w:val="2"/>
      <w:sz w:val="21"/>
      <w:szCs w:val="21"/>
    </w:rPr>
  </w:style>
  <w:style w:type="character" w:customStyle="1" w:styleId="34">
    <w:name w:val="纯文本 Char1"/>
    <w:link w:val="5"/>
    <w:qFormat/>
    <w:uiPriority w:val="0"/>
    <w:rPr>
      <w:rFonts w:ascii="宋体" w:hAnsi="Courier New" w:eastAsia="仿宋_GB2312"/>
      <w:kern w:val="2"/>
      <w:sz w:val="30"/>
    </w:rPr>
  </w:style>
  <w:style w:type="paragraph" w:customStyle="1" w:styleId="35">
    <w:name w:val="表正文"/>
    <w:basedOn w:val="1"/>
    <w:next w:val="7"/>
    <w:qFormat/>
    <w:uiPriority w:val="0"/>
    <w:pPr>
      <w:spacing w:line="360" w:lineRule="auto"/>
      <w:ind w:left="480" w:hanging="480" w:hangingChars="200"/>
    </w:pPr>
    <w:rPr>
      <w:rFonts w:ascii="宋体" w:hAnsi="宋体"/>
      <w:sz w:val="24"/>
    </w:rPr>
  </w:style>
  <w:style w:type="paragraph" w:customStyle="1" w:styleId="36">
    <w:name w:val="样式 标题 1 + 黑体 四号 居中"/>
    <w:basedOn w:val="2"/>
    <w:qFormat/>
    <w:uiPriority w:val="0"/>
    <w:pPr>
      <w:widowControl w:val="0"/>
      <w:tabs>
        <w:tab w:val="left" w:pos="432"/>
        <w:tab w:val="left" w:pos="630"/>
      </w:tabs>
      <w:spacing w:before="120" w:after="120" w:line="420" w:lineRule="auto"/>
      <w:ind w:left="432" w:hanging="432"/>
      <w:jc w:val="both"/>
    </w:pPr>
    <w:rPr>
      <w:rFonts w:ascii="黑体" w:hAnsi="Times New Roman" w:eastAsia="黑体"/>
      <w:kern w:val="44"/>
      <w:sz w:val="28"/>
      <w:szCs w:val="20"/>
    </w:rPr>
  </w:style>
  <w:style w:type="paragraph" w:customStyle="1" w:styleId="37">
    <w:name w:val="列出段落1"/>
    <w:basedOn w:val="1"/>
    <w:qFormat/>
    <w:uiPriority w:val="0"/>
    <w:pPr>
      <w:ind w:firstLine="420" w:firstLineChars="200"/>
    </w:pPr>
    <w:rPr>
      <w:rFonts w:asciiTheme="minorHAnsi" w:hAnsiTheme="minorHAnsi" w:eastAsiaTheme="minorEastAsia" w:cstheme="minorBidi"/>
    </w:rPr>
  </w:style>
  <w:style w:type="character" w:customStyle="1" w:styleId="38">
    <w:name w:val="列出段落 Char"/>
    <w:link w:val="27"/>
    <w:qFormat/>
    <w:uiPriority w:val="34"/>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7F2658-8A9A-4961-A921-80D7B871621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1402</Words>
  <Characters>7996</Characters>
  <Lines>66</Lines>
  <Paragraphs>18</Paragraphs>
  <TotalTime>1</TotalTime>
  <ScaleCrop>false</ScaleCrop>
  <LinksUpToDate>false</LinksUpToDate>
  <CharactersWithSpaces>9380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2017-11-02T07:53:00Z</dcterms:created>
  <dc:creator>pzvip</dc:creator>
  <cp:lastModifiedBy>马</cp:lastModifiedBy>
  <cp:lastPrinted>2018-12-07T02:51:00Z</cp:lastPrinted>
  <dcterms:modified xsi:type="dcterms:W3CDTF">2019-12-09T00:25:43Z</dcterms:modified>
  <dc:title>投标邀请函</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